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-142" w:firstLine="14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Р О С </w:t>
      </w:r>
      <w:r>
        <w:rPr>
          <w:rFonts w:ascii="Arial" w:hAnsi="Arial" w:cs="Arial"/>
          <w:b/>
          <w:sz w:val="20"/>
          <w:szCs w:val="20"/>
        </w:rPr>
        <w:t xml:space="preserve">С</w:t>
      </w:r>
      <w:r>
        <w:rPr>
          <w:rFonts w:ascii="Arial" w:hAnsi="Arial" w:cs="Arial"/>
          <w:b/>
          <w:sz w:val="20"/>
          <w:szCs w:val="20"/>
        </w:rPr>
        <w:t xml:space="preserve"> И Й С К А Я   Ф Е Д Е Р А Ц И Я</w:t>
      </w:r>
    </w:p>
    <w:p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Б Е Л Г О Р О Д С К А Я   О Б Л А С Т Ь</w:t>
      </w:r>
    </w:p>
    <w:p>
      <w:pPr>
        <w:jc w:val="center"/>
        <w:rPr>
          <w:rFonts w:ascii="Arial Narrow" w:hAnsi="Arial Narrow" w:cs="Arial Narrow"/>
          <w:b/>
          <w:bCs/>
          <w:sz w:val="40"/>
          <w:szCs w:val="40"/>
        </w:rPr>
      </w:pPr>
      <w:r>
        <w:rPr>
          <w:rFonts w:ascii="Calibri" w:hAnsi="Calibri" w:eastAsia="Calibri" w:cs="Times New Roman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4825" cy="609600"/>
                <wp:effectExtent l="0" t="0" r="0" b="0"/>
                <wp:docPr id="1" name="_x005F_x0000_i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_x005F_x0000_i0"/>
                        <pic:cNvPicPr>
                          <a:picLocks noChangeAspect="1" noChangeArrowheads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04825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75pt;height:48.00pt;mso-wrap-distance-left:0.00pt;mso-wrap-distance-top:0.00pt;mso-wrap-distance-right:0.00pt;mso-wrap-distance-bottom:0.00pt;" stroked="false">
                <v:path textboxrect="0,0,0,0"/>
                <v:imagedata r:id="rId11" o:title=""/>
              </v:shape>
            </w:pict>
          </mc:Fallback>
        </mc:AlternateContent>
      </w:r>
    </w:p>
    <w:p>
      <w:pPr>
        <w:keepNext/>
        <w:jc w:val="center"/>
        <w:outlineLvl w:val="0"/>
        <w:rPr>
          <w:rFonts w:ascii="Arial Narrow" w:hAnsi="Arial Narrow" w:cs="Arial Narrow"/>
          <w:b/>
          <w:bCs/>
          <w:sz w:val="40"/>
          <w:szCs w:val="40"/>
        </w:rPr>
      </w:pPr>
      <w:r>
        <w:rPr>
          <w:rFonts w:ascii="Arial Narrow" w:hAnsi="Arial Narrow" w:cs="Arial Narrow"/>
          <w:b/>
          <w:bCs/>
          <w:sz w:val="40"/>
          <w:szCs w:val="40"/>
        </w:rPr>
        <w:t xml:space="preserve">АДМИНИСТРАЦИЯ МУНИЦИПАЛЬНОГО РАЙОНА</w:t>
      </w:r>
    </w:p>
    <w:p>
      <w:pPr>
        <w:keepNext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 Narrow" w:hAnsi="Arial Narrow" w:cs="Arial Narrow"/>
          <w:b/>
          <w:bCs/>
          <w:sz w:val="40"/>
          <w:szCs w:val="40"/>
        </w:rPr>
        <w:t xml:space="preserve">«ИВНЯНСКИЙ РАЙОН»</w:t>
      </w:r>
    </w:p>
    <w:p>
      <w:pPr>
        <w:keepNext/>
        <w:jc w:val="center"/>
        <w:outlineLvl w:val="0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bCs/>
          <w:sz w:val="32"/>
          <w:szCs w:val="32"/>
        </w:rPr>
        <w:t xml:space="preserve">П О С Т А Н О В Л Е Н И Е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Arial" w:hAnsi="Arial" w:cs="Arial"/>
          <w:b/>
          <w:sz w:val="17"/>
          <w:szCs w:val="17"/>
        </w:rPr>
        <w:t xml:space="preserve">Посёлок Ивня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1" w:type="dxa"/>
        <w:tblLayout w:type="fixed"/>
        <w:tblLook w:val="04A0" w:firstRow="1" w:lastRow="0" w:firstColumn="1" w:lastColumn="0" w:noHBand="0" w:noVBand="1"/>
      </w:tblPr>
      <w:tblGrid>
        <w:gridCol w:w="3924"/>
        <w:gridCol w:w="2837"/>
        <w:gridCol w:w="2840"/>
      </w:tblGrid>
      <w:tr>
        <w:tc>
          <w:tcPr>
            <w:tcW w:w="3924" w:type="dxa"/>
          </w:tcPr>
          <w:p>
            <w:pPr>
              <w:jc w:val="both"/>
              <w:rPr>
                <w:rFonts w:ascii="Calibri" w:hAnsi="Calibri" w:eastAsia="Calibri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___________________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2837" w:type="dxa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0" w:type="dxa"/>
          </w:tcPr>
          <w:p>
            <w:pPr>
              <w:jc w:val="center"/>
              <w:rPr>
                <w:rFonts w:ascii="Calibri" w:hAnsi="Calibri" w:eastAsia="Calibri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_____</w:t>
            </w:r>
          </w:p>
        </w:tc>
      </w:tr>
    </w:tbl>
    <w:p>
      <w:pPr>
        <w:rPr>
          <w:rFonts w:ascii="Times New Roman" w:hAnsi="Times New Roman" w:cs="Times New Roman"/>
          <w:b/>
          <w:sz w:val="27"/>
          <w:szCs w:val="27"/>
        </w:rPr>
      </w:pPr>
    </w:p>
    <w:p>
      <w:pPr>
        <w:rPr>
          <w:rFonts w:ascii="Times New Roman" w:hAnsi="Times New Roman" w:cs="Times New Roman"/>
          <w:b/>
          <w:sz w:val="27"/>
          <w:szCs w:val="27"/>
        </w:rPr>
      </w:pPr>
    </w:p>
    <w:p>
      <w:pPr>
        <w:rPr>
          <w:rFonts w:ascii="Times New Roman" w:hAnsi="Times New Roman" w:cs="Times New Roman"/>
          <w:b/>
          <w:sz w:val="27"/>
          <w:szCs w:val="27"/>
        </w:rPr>
      </w:pPr>
    </w:p>
    <w:tbl>
      <w:tblPr>
        <w:tblW w:w="2727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102"/>
      </w:tblGrid>
      <w:tr>
        <w:trPr>
          <w:trHeight w:val="1501"/>
        </w:trPr>
        <w:tc>
          <w:tcPr>
            <w:tcW w:w="5097" w:type="dxa"/>
          </w:tcPr>
          <w:p>
            <w:pPr>
              <w:widowControl/>
              <w:spacing w:line="259" w:lineRule="auto"/>
              <w:ind w:left="34" w:hanging="34"/>
              <w:rPr>
                <w:rFonts w:ascii="Times New Roman" w:hAnsi="Times New Roman" w:cs="Times New Roman"/>
                <w:b/>
                <w:sz w:val="26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О внесении изменений в постановление администрации муниципального района 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                                              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Ивнянский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      район»   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 от 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  08 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ноября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02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4  год</w:t>
            </w:r>
            <w:r>
              <w:rPr>
                <w:rFonts w:ascii="Times New Roman" w:hAnsi="Times New Roman" w:cs="Times New Roman"/>
                <w:b/>
                <w:sz w:val="26"/>
                <w:szCs w:val="22"/>
              </w:rPr>
              <w:t xml:space="preserve">а  №  407</w:t>
            </w:r>
          </w:p>
        </w:tc>
      </w:tr>
    </w:tbl>
    <w:p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>
      <w:pPr>
        <w:jc w:val="both"/>
        <w:rPr>
          <w:rFonts w:ascii="Times New Roman" w:hAnsi="Times New Roman" w:cs="Times New Roman"/>
          <w:sz w:val="27"/>
          <w:szCs w:val="27"/>
        </w:rPr>
      </w:pPr>
    </w:p>
    <w:p>
      <w:pPr>
        <w:jc w:val="both"/>
        <w:rPr>
          <w:rFonts w:ascii="Times New Roman" w:hAnsi="Times New Roman" w:cs="Times New Roman"/>
          <w:sz w:val="27"/>
          <w:szCs w:val="27"/>
        </w:rPr>
      </w:pPr>
    </w:p>
    <w:p>
      <w:pPr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eastAsia="Calibri" w:cs="Times New Roman"/>
          <w:sz w:val="27"/>
          <w:szCs w:val="27"/>
          <w:lang w:eastAsia="zh-CN"/>
        </w:rPr>
        <w:t xml:space="preserve">В соответствии со статьей 179 Бюджетного кодекса Российской Федерации, статьей 39 Федерального закона от 28 </w:t>
      </w:r>
      <w:r>
        <w:rPr>
          <w:rFonts w:ascii="Times New Roman" w:hAnsi="Times New Roman" w:eastAsia="Calibri" w:cs="Times New Roman"/>
          <w:sz w:val="27"/>
          <w:szCs w:val="27"/>
          <w:lang w:eastAsia="zh-CN"/>
        </w:rPr>
        <w:t xml:space="preserve">июня 2014 года № 172-ФЗ  </w:t>
      </w:r>
      <w:r>
        <w:rPr>
          <w:rFonts w:ascii="Times New Roman" w:hAnsi="Times New Roman" w:eastAsia="Calibri" w:cs="Times New Roman"/>
          <w:sz w:val="27"/>
          <w:szCs w:val="27"/>
          <w:lang w:eastAsia="zh-CN"/>
        </w:rPr>
        <w:t xml:space="preserve"> «О стратегическом планировании в Российской Федерации»,</w:t>
      </w:r>
      <w:r>
        <w:rPr>
          <w:rFonts w:ascii="Calibri" w:hAnsi="Calibri" w:eastAsia="Calibri" w:cs="Times New Roman"/>
          <w:lang w:eastAsia="zh-CN"/>
        </w:rPr>
        <w:t xml:space="preserve"> </w:t>
      </w:r>
      <w:r>
        <w:rPr>
          <w:rFonts w:ascii="Times New Roman" w:hAnsi="Times New Roman" w:eastAsia="Calibri" w:cs="Times New Roman"/>
          <w:sz w:val="27"/>
          <w:szCs w:val="27"/>
          <w:lang w:eastAsia="zh-CN"/>
        </w:rPr>
        <w:t xml:space="preserve">Законом Белгородской области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распределении иных межбюджетных трансфертов из областного бюджета бюджетам муниципальных районов и городских округов Белгородской области на организацию отдыха и оздоровления детей, проживающих на территории Белгородской области, в организациях отдыха детей и их оздоровления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Calibri" w:cs="Times New Roman"/>
          <w:sz w:val="27"/>
          <w:szCs w:val="27"/>
          <w:lang w:eastAsia="zh-CN"/>
        </w:rPr>
        <w:t xml:space="preserve">постановлением</w:t>
      </w:r>
      <w:r>
        <w:rPr>
          <w:rFonts w:ascii="Times New Roman" w:hAnsi="Times New Roman" w:eastAsia="Calibri" w:cs="Times New Roman"/>
          <w:sz w:val="27"/>
          <w:szCs w:val="27"/>
          <w:lang w:eastAsia="zh-CN"/>
        </w:rPr>
        <w:t xml:space="preserve"> администрации муниципального района «Ивнянский район» от 9 сентября</w:t>
      </w:r>
      <w:r>
        <w:rPr>
          <w:rFonts w:ascii="Times New Roman" w:hAnsi="Times New Roman" w:eastAsia="Calibri" w:cs="Times New Roman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Calibri" w:cs="Times New Roman"/>
          <w:sz w:val="27"/>
          <w:szCs w:val="27"/>
          <w:lang w:eastAsia="zh-CN"/>
        </w:rPr>
        <w:t xml:space="preserve">2024 года № 329 «Об утверждении Методических рекомендаций по разработке</w:t>
      </w:r>
      <w:r>
        <w:rPr>
          <w:rFonts w:ascii="Times New Roman" w:hAnsi="Times New Roman" w:eastAsia="Calibri" w:cs="Times New Roman"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Calibri" w:cs="Times New Roman"/>
          <w:sz w:val="27"/>
          <w:szCs w:val="27"/>
          <w:lang w:eastAsia="zh-CN"/>
        </w:rPr>
        <w:t xml:space="preserve">и реализации муниципальных  программ Ивнянского района Белгородской области», </w:t>
      </w:r>
      <w:r>
        <w:rPr>
          <w:rFonts w:ascii="Times New Roman" w:hAnsi="Times New Roman" w:cs="Times New Roman"/>
          <w:sz w:val="27"/>
          <w:szCs w:val="27"/>
        </w:rPr>
        <w:t xml:space="preserve">в целях исполнения постановлений администрации муниципального района «Ив</w:t>
      </w:r>
      <w:r>
        <w:rPr>
          <w:rFonts w:ascii="Times New Roman" w:hAnsi="Times New Roman" w:cs="Times New Roman"/>
          <w:sz w:val="27"/>
          <w:szCs w:val="27"/>
        </w:rPr>
        <w:t xml:space="preserve">нянский район»</w:t>
      </w:r>
      <w:r>
        <w:rPr>
          <w:rFonts w:ascii="Times New Roman" w:hAnsi="Times New Roman" w:cs="Times New Roman"/>
          <w:sz w:val="27"/>
          <w:szCs w:val="27"/>
        </w:rPr>
        <w:t xml:space="preserve"> от 5 сентября 2024 года № 322 «Об утверждении Положения  о системе управления муниципальными программами Ивнянского района Белгородской области», от 25 сентября 2024 года № 347 </w:t>
      </w:r>
      <w:bookmarkStart w:id="0" w:name="_Hlk178252359"/>
      <w:r>
        <w:rPr>
          <w:rFonts w:ascii="Times New Roman" w:hAnsi="Times New Roman" w:cs="Times New Roman"/>
          <w:sz w:val="27"/>
          <w:szCs w:val="27"/>
        </w:rPr>
        <w:t xml:space="preserve">«Об утверждении перечня муниципальных программ Ивнянского района» </w:t>
      </w:r>
      <w:bookmarkEnd w:id="0"/>
      <w:r>
        <w:rPr>
          <w:rFonts w:ascii="Times New Roman" w:hAnsi="Times New Roman" w:cs="Times New Roman"/>
          <w:sz w:val="27"/>
          <w:szCs w:val="27"/>
        </w:rPr>
        <w:t xml:space="preserve">администрация Ивнянского района  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п о с т а н о в л я е т: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 </w:t>
      </w:r>
    </w:p>
    <w:p>
      <w:pPr>
        <w:pStyle w:val="a6"/>
        <w:widowControl/>
        <w:numPr>
          <w:numId w:val="25"/>
          <w:ilvl w:val="0"/>
        </w:numPr>
        <w:spacing w:after="8" w:line="271" w:lineRule="auto"/>
        <w:ind w:left="284" w:right="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</w:t>
      </w:r>
      <w:r>
        <w:rPr>
          <w:rFonts w:ascii="Times New Roman" w:hAnsi="Times New Roman" w:cs="Times New Roman"/>
          <w:sz w:val="27"/>
          <w:szCs w:val="27"/>
        </w:rPr>
        <w:t xml:space="preserve">Внести в постановление администрации муниципального </w:t>
      </w:r>
      <w:r>
        <w:rPr>
          <w:rFonts w:ascii="Times New Roman" w:hAnsi="Times New Roman" w:cs="Times New Roman"/>
          <w:sz w:val="27"/>
          <w:szCs w:val="27"/>
        </w:rPr>
        <w:t xml:space="preserve">района </w:t>
      </w:r>
      <w:r>
        <w:rPr>
          <w:rFonts w:ascii="Times New Roman" w:hAnsi="Times New Roman" w:cs="Times New Roman"/>
          <w:sz w:val="27"/>
          <w:szCs w:val="27"/>
        </w:rPr>
        <w:t xml:space="preserve">«</w:t>
      </w:r>
      <w:r>
        <w:rPr>
          <w:rFonts w:ascii="Times New Roman" w:hAnsi="Times New Roman" w:cs="Times New Roman"/>
          <w:sz w:val="27"/>
          <w:szCs w:val="27"/>
        </w:rPr>
        <w:t xml:space="preserve">Ивнянский</w:t>
      </w:r>
      <w:r>
        <w:rPr>
          <w:rFonts w:ascii="Times New Roman" w:hAnsi="Times New Roman" w:cs="Times New Roman"/>
          <w:sz w:val="27"/>
          <w:szCs w:val="27"/>
        </w:rPr>
        <w:t xml:space="preserve"> район» от 08 ноября </w:t>
      </w:r>
      <w:r>
        <w:rPr>
          <w:rFonts w:ascii="Times New Roman" w:hAnsi="Times New Roman" w:cs="Times New Roman"/>
          <w:sz w:val="27"/>
          <w:szCs w:val="27"/>
        </w:rPr>
        <w:t xml:space="preserve">2024 года № 407 «Об утверждении муниципальной программы «</w:t>
      </w:r>
      <w:bookmarkStart w:id="1" w:name="_Hlk190850309"/>
      <w:r>
        <w:rPr>
          <w:rFonts w:ascii="Times New Roman" w:hAnsi="Times New Roman" w:cs="Times New Roman"/>
          <w:sz w:val="27"/>
          <w:szCs w:val="27"/>
        </w:rPr>
        <w:t xml:space="preserve">Развитие образования Ивнянского района</w:t>
      </w:r>
      <w:bookmarkEnd w:id="1"/>
      <w:r>
        <w:rPr>
          <w:rFonts w:ascii="Times New Roman" w:hAnsi="Times New Roman" w:cs="Times New Roman"/>
          <w:sz w:val="27"/>
          <w:szCs w:val="27"/>
        </w:rPr>
        <w:t xml:space="preserve"> Белгородской области</w:t>
      </w:r>
      <w:r>
        <w:rPr>
          <w:rFonts w:ascii="Times New Roman" w:hAnsi="Times New Roman" w:cs="Times New Roman"/>
          <w:sz w:val="27"/>
          <w:szCs w:val="27"/>
        </w:rPr>
        <w:t xml:space="preserve">» следующие изменения: </w:t>
      </w:r>
    </w:p>
    <w:p>
      <w:pPr>
        <w:widowControl/>
        <w:shd w:val="clear" w:color="auto" w:fill="ffffff"/>
        <w:spacing w:after="240"/>
        <w:ind w:left="142"/>
        <w:outlineLvl w:val="3"/>
        <w:rPr>
          <w:rFonts w:ascii="Times New Roman" w:hAnsi="Times New Roman" w:cs="Times New Roman"/>
          <w:bCs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- </w:t>
      </w:r>
      <w:r>
        <w:rPr>
          <w:rFonts w:ascii="Times New Roman" w:hAnsi="Times New Roman" w:cs="Times New Roman"/>
          <w:sz w:val="27"/>
          <w:szCs w:val="27"/>
        </w:rPr>
        <w:t xml:space="preserve">п. 5 Муниципальной программы </w:t>
      </w:r>
      <w:r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 xml:space="preserve">«Финансовое обеспечение муниципальной программы в 2025 году» </w:t>
      </w:r>
      <w:r>
        <w:rPr>
          <w:rFonts w:ascii="Times New Roman" w:hAnsi="Times New Roman" w:cs="Times New Roman"/>
          <w:sz w:val="28"/>
          <w:szCs w:val="28"/>
        </w:rPr>
        <w:t xml:space="preserve">изложить в ново</w:t>
      </w:r>
      <w:r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</w:p>
    <w:p>
      <w:pPr>
        <w:widowControl/>
        <w:spacing w:after="8" w:line="271" w:lineRule="auto"/>
        <w:ind w:left="693" w:right="4"/>
        <w:jc w:val="both"/>
        <w:rPr>
          <w:rFonts w:ascii="Times New Roman" w:hAnsi="Times New Roman" w:cs="Times New Roman"/>
          <w:sz w:val="27"/>
          <w:szCs w:val="27"/>
        </w:rPr>
      </w:pPr>
    </w:p>
    <w:p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    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-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Паспорт муниципального проекта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«Создание условий для обучения, отдыха и оздоровления детей и молодежи»,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не 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входящий в состав национального проекта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,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bookmarkStart w:id="2" w:name="_GoBack"/>
      <w:r>
        <w:rPr>
          <w:rFonts w:ascii="Times New Roman" w:hAnsi="Times New Roman" w:cs="Times New Roman"/>
          <w:b w:val="0"/>
          <w:sz w:val="27"/>
          <w:szCs w:val="27"/>
        </w:rPr>
        <w:t xml:space="preserve">изложить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согласно приложению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 настоящем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</w:t>
      </w:r>
    </w:p>
    <w:bookmarkEnd w:id="2"/>
    <w:p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>
      <w:pPr>
        <w:widowControl/>
        <w:shd w:val="clear" w:color="auto" w:fill="ffffff"/>
        <w:spacing w:after="240"/>
        <w:outlineLvl w:val="3"/>
        <w:rPr>
          <w:rFonts w:ascii="Times New Roman" w:hAnsi="Times New Roman" w:cs="Times New Roman"/>
          <w:bCs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 xml:space="preserve">           2.  </w:t>
      </w:r>
      <w:r>
        <w:rPr>
          <w:rFonts w:ascii="Times New Roman" w:hAnsi="Times New Roman" w:cs="Times New Roman"/>
          <w:color w:val="auto"/>
          <w:sz w:val="27"/>
          <w:szCs w:val="27"/>
        </w:rPr>
        <w:t xml:space="preserve">Информационно-техническому отделу аппарата главы администрации </w:t>
      </w:r>
      <w:r>
        <w:rPr>
          <w:rFonts w:ascii="Times New Roman" w:hAnsi="Times New Roman" w:cs="Times New Roman"/>
          <w:color w:val="auto"/>
          <w:sz w:val="27"/>
          <w:szCs w:val="27"/>
        </w:rPr>
        <w:t xml:space="preserve">Ивнянского</w:t>
      </w:r>
      <w:r>
        <w:rPr>
          <w:rFonts w:ascii="Times New Roman" w:hAnsi="Times New Roman" w:cs="Times New Roman"/>
          <w:color w:val="auto"/>
          <w:sz w:val="27"/>
          <w:szCs w:val="27"/>
        </w:rPr>
        <w:t xml:space="preserve"> района (</w:t>
      </w:r>
      <w:r>
        <w:rPr>
          <w:rFonts w:ascii="Times New Roman" w:hAnsi="Times New Roman" w:cs="Times New Roman"/>
          <w:color w:val="auto"/>
          <w:sz w:val="27"/>
          <w:szCs w:val="27"/>
        </w:rPr>
        <w:t xml:space="preserve">Куровицкий</w:t>
      </w:r>
      <w:r>
        <w:rPr>
          <w:rFonts w:ascii="Times New Roman" w:hAnsi="Times New Roman" w:cs="Times New Roman"/>
          <w:color w:val="auto"/>
          <w:sz w:val="27"/>
          <w:szCs w:val="27"/>
        </w:rPr>
        <w:t xml:space="preserve"> А.В.</w:t>
      </w:r>
      <w:r>
        <w:rPr>
          <w:rFonts w:ascii="Times New Roman" w:hAnsi="Times New Roman" w:cs="Times New Roman"/>
          <w:color w:val="auto"/>
          <w:sz w:val="27"/>
          <w:szCs w:val="27"/>
        </w:rPr>
        <w:t xml:space="preserve">) обеспечить размещение данного </w:t>
      </w:r>
      <w:r>
        <w:rPr>
          <w:rFonts w:ascii="Times New Roman" w:hAnsi="Times New Roman" w:cs="Times New Roman"/>
          <w:sz w:val="27"/>
          <w:szCs w:val="27"/>
        </w:rPr>
        <w:t xml:space="preserve">постановления на официальном сайте администрации Ивнянского района. </w:t>
      </w:r>
    </w:p>
    <w:p>
      <w:pPr>
        <w:widowControl/>
        <w:spacing w:after="8" w:line="271" w:lineRule="auto"/>
        <w:ind w:left="10" w:right="2" w:hanging="10"/>
        <w:jc w:val="both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 xml:space="preserve">         3.Контроль за исполнением постановления возложить на заместителя главы администрации Ивнянского района по социально-культурному развитию Абраменко Т.В.</w:t>
      </w:r>
    </w:p>
    <w:p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>
      <w:pPr>
        <w:jc w:val="both"/>
        <w:rPr>
          <w:rFonts w:ascii="Times New Roman" w:hAnsi="Times New Roman" w:eastAsia="Calibri" w:cs="Times New Roman"/>
          <w:b/>
          <w:sz w:val="27"/>
          <w:szCs w:val="27"/>
          <w:lang w:eastAsia="zh-CN"/>
        </w:rPr>
      </w:pPr>
      <w:r>
        <w:rPr>
          <w:rFonts w:ascii="Times New Roman" w:hAnsi="Times New Roman" w:eastAsia="Calibri" w:cs="Times New Roman"/>
          <w:b/>
          <w:sz w:val="27"/>
          <w:szCs w:val="27"/>
          <w:lang w:eastAsia="zh-CN"/>
        </w:rPr>
        <w:t xml:space="preserve">Глава администрации </w:t>
      </w:r>
    </w:p>
    <w:p>
      <w:pPr>
        <w:jc w:val="both"/>
        <w:rPr>
          <w:rFonts w:ascii="Calibri" w:hAnsi="Calibri" w:eastAsia="Calibri" w:cs="Times New Roman"/>
          <w:lang w:eastAsia="zh-CN"/>
        </w:rPr>
      </w:pPr>
      <w:r>
        <w:rPr>
          <w:rFonts w:ascii="Times New Roman" w:hAnsi="Times New Roman" w:eastAsia="Calibri" w:cs="Times New Roman"/>
          <w:b/>
          <w:sz w:val="27"/>
          <w:szCs w:val="27"/>
          <w:lang w:eastAsia="zh-CN"/>
        </w:rPr>
        <w:t xml:space="preserve">  </w:t>
      </w:r>
      <w:r>
        <w:rPr>
          <w:rFonts w:ascii="Times New Roman" w:hAnsi="Times New Roman" w:eastAsia="Calibri" w:cs="Times New Roman"/>
          <w:b/>
          <w:sz w:val="27"/>
          <w:szCs w:val="27"/>
          <w:lang w:eastAsia="zh-CN"/>
        </w:rPr>
        <w:t xml:space="preserve">Ивнянского</w:t>
      </w:r>
      <w:r>
        <w:rPr>
          <w:rFonts w:ascii="Times New Roman" w:hAnsi="Times New Roman" w:eastAsia="Calibri" w:cs="Times New Roman"/>
          <w:b/>
          <w:sz w:val="27"/>
          <w:szCs w:val="27"/>
          <w:lang w:eastAsia="zh-CN"/>
        </w:rPr>
        <w:t xml:space="preserve"> района</w:t>
      </w:r>
      <w:r>
        <w:rPr>
          <w:rFonts w:ascii="Times New Roman" w:hAnsi="Times New Roman" w:eastAsia="Calibri" w:cs="Times New Roman"/>
          <w:b/>
          <w:sz w:val="27"/>
          <w:szCs w:val="27"/>
          <w:lang w:eastAsia="zh-CN"/>
        </w:rPr>
        <w:tab/>
      </w:r>
      <w:r>
        <w:rPr>
          <w:rFonts w:ascii="Times New Roman" w:hAnsi="Times New Roman" w:eastAsia="Calibri" w:cs="Times New Roman"/>
          <w:b/>
          <w:sz w:val="27"/>
          <w:szCs w:val="27"/>
          <w:lang w:eastAsia="zh-CN"/>
        </w:rPr>
        <w:tab/>
      </w:r>
      <w:r>
        <w:rPr>
          <w:rFonts w:ascii="Times New Roman" w:hAnsi="Times New Roman" w:eastAsia="Calibri" w:cs="Times New Roman"/>
          <w:b/>
          <w:sz w:val="27"/>
          <w:szCs w:val="27"/>
          <w:lang w:eastAsia="zh-CN"/>
        </w:rPr>
        <w:t xml:space="preserve">                                 </w:t>
      </w:r>
      <w:r>
        <w:rPr>
          <w:rFonts w:ascii="Times New Roman" w:hAnsi="Times New Roman" w:eastAsia="Calibri" w:cs="Times New Roman"/>
          <w:b/>
          <w:sz w:val="27"/>
          <w:szCs w:val="27"/>
          <w:lang w:eastAsia="zh-CN"/>
        </w:rPr>
        <w:t xml:space="preserve">                               И.А. </w:t>
      </w:r>
      <w:r>
        <w:rPr>
          <w:rFonts w:ascii="Times New Roman" w:hAnsi="Times New Roman" w:eastAsia="Calibri" w:cs="Times New Roman"/>
          <w:b/>
          <w:sz w:val="27"/>
          <w:szCs w:val="27"/>
          <w:lang w:eastAsia="zh-CN"/>
        </w:rPr>
        <w:t xml:space="preserve">Щепин </w:t>
      </w:r>
      <w:r>
        <w:rPr>
          <w:rFonts w:ascii="Times New Roman" w:hAnsi="Times New Roman" w:eastAsia="Calibri" w:cs="Times New Roman"/>
          <w:b/>
          <w:sz w:val="27"/>
          <w:szCs w:val="27"/>
          <w:lang w:eastAsia="zh-CN"/>
        </w:rPr>
        <w:tab/>
        <w:t xml:space="preserve">                                               </w:t>
      </w:r>
      <w:r>
        <w:rPr>
          <w:rFonts w:ascii="Times New Roman" w:hAnsi="Times New Roman" w:eastAsia="Calibri" w:cs="Times New Roman"/>
          <w:b/>
          <w:sz w:val="27"/>
          <w:szCs w:val="27"/>
          <w:lang w:eastAsia="zh-CN"/>
        </w:rPr>
        <w:t xml:space="preserve"> </w:t>
      </w:r>
      <w:r>
        <w:rPr>
          <w:rFonts w:ascii="Times New Roman" w:hAnsi="Times New Roman" w:eastAsia="Calibri" w:cs="Times New Roman"/>
          <w:b/>
          <w:sz w:val="27"/>
          <w:szCs w:val="27"/>
          <w:lang w:eastAsia="zh-CN"/>
        </w:rPr>
        <w:t xml:space="preserve">     </w:t>
      </w: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spacing w:line="276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>
      <w:pPr>
        <w:jc w:val="both"/>
        <w:rPr>
          <w:rFonts w:ascii="Times New Roman" w:hAnsi="Times New Roman" w:cs="Times New Roman"/>
          <w:bCs/>
          <w:color w:val="auto"/>
          <w:spacing w:val="1"/>
          <w:sz w:val="28"/>
          <w:szCs w:val="28"/>
        </w:rPr>
        <w:sectPr>
          <w:headerReference w:type="default" r:id="rId9"/>
          <w:pgSz w:w="11906" w:h="16838"/>
          <w:pgMar w:top="1134" w:right="850" w:bottom="993" w:left="1701" w:header="567" w:footer="567" w:gutter="0"/>
          <w:pgNumType w:start="1"/>
          <w:cols w:space="708"/>
          <w:docGrid w:linePitch="360"/>
          <w:titlePg/>
        </w:sectPr>
      </w:pPr>
    </w:p>
    <w:p>
      <w:pPr>
        <w:widowControl/>
        <w:shd w:val="clear" w:color="auto" w:fill="ffffff"/>
        <w:jc w:val="center"/>
        <w:outlineLvl w:val="3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Приложение 1 </w:t>
      </w:r>
    </w:p>
    <w:p>
      <w:pPr>
        <w:widowControl/>
        <w:shd w:val="clear" w:color="auto" w:fill="ffffff"/>
        <w:jc w:val="right"/>
        <w:outlineLvl w:val="3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к постановлению администрации</w:t>
      </w:r>
    </w:p>
    <w:p>
      <w:pPr>
        <w:widowControl/>
        <w:shd w:val="clear" w:color="auto" w:fill="ffffff"/>
        <w:jc w:val="center"/>
        <w:outlineLvl w:val="3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Ивнянского</w:t>
      </w: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района</w:t>
      </w:r>
    </w:p>
    <w:p>
      <w:pPr>
        <w:widowControl/>
        <w:shd w:val="clear" w:color="auto" w:fill="ffffff"/>
        <w:spacing w:after="240"/>
        <w:jc w:val="right"/>
        <w:outlineLvl w:val="3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«___</w:t>
      </w: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_»_</w:t>
      </w: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________2025 г.</w:t>
      </w:r>
    </w:p>
    <w:p>
      <w:pPr>
        <w:widowControl/>
        <w:shd w:val="clear" w:color="auto" w:fill="ffffff"/>
        <w:spacing w:after="240"/>
        <w:jc w:val="center"/>
        <w:outlineLvl w:val="3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5. Финанс</w:t>
      </w: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овое обеспечение муниципальной</w:t>
      </w: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программы</w:t>
      </w:r>
    </w:p>
    <w:tbl>
      <w:tblPr>
        <w:tblStyle w:val="a7"/>
        <w:tblW w:w="1502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276"/>
        <w:gridCol w:w="1101"/>
        <w:gridCol w:w="1084"/>
        <w:gridCol w:w="1217"/>
        <w:gridCol w:w="1134"/>
        <w:gridCol w:w="1417"/>
        <w:gridCol w:w="1418"/>
      </w:tblGrid>
      <w:tr>
        <w:trPr>
          <w:trHeight w:val="1266"/>
        </w:trPr>
        <w:tc>
          <w:tcPr>
            <w:tcW w:w="709" w:type="dxa"/>
            <w:vMerge w:val="restart"/>
          </w:tcPr>
          <w:p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N п/п</w:t>
            </w:r>
          </w:p>
        </w:tc>
        <w:tc>
          <w:tcPr>
            <w:tcW w:w="4253" w:type="dxa"/>
            <w:vMerge w:val="restart"/>
          </w:tcPr>
          <w:p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Наименование муниципальной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программы, структурного элемента государственной программы, источник финансового обеспечения</w:t>
            </w:r>
          </w:p>
        </w:tc>
        <w:tc>
          <w:tcPr>
            <w:tcW w:w="1417" w:type="dxa"/>
            <w:vMerge w:val="restart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Код</w:t>
            </w:r>
          </w:p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бюджетной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классифи</w:t>
            </w:r>
          </w:p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кации</w:t>
            </w:r>
          </w:p>
        </w:tc>
        <w:tc>
          <w:tcPr>
            <w:tcW w:w="8647" w:type="dxa"/>
            <w:gridSpan w:val="7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Объем финансового обеспечения по годам реализации, тыс. рублей</w:t>
            </w:r>
          </w:p>
        </w:tc>
      </w:tr>
      <w:tr>
        <w:tc>
          <w:tcPr>
            <w:tcW w:w="709" w:type="dxa"/>
            <w:vMerge w:val="continue"/>
          </w:tcPr>
          <w:p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vMerge w:val="continue"/>
          </w:tcPr>
          <w:p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2025</w:t>
            </w:r>
          </w:p>
        </w:tc>
        <w:tc>
          <w:tcPr>
            <w:tcW w:w="1101" w:type="dxa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</w:t>
            </w:r>
          </w:p>
        </w:tc>
        <w:tc>
          <w:tcPr>
            <w:tcW w:w="1084" w:type="dxa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2027</w:t>
            </w:r>
          </w:p>
        </w:tc>
        <w:tc>
          <w:tcPr>
            <w:tcW w:w="1217" w:type="dxa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2028</w:t>
            </w:r>
          </w:p>
        </w:tc>
        <w:tc>
          <w:tcPr>
            <w:tcW w:w="1134" w:type="dxa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2029</w:t>
            </w:r>
          </w:p>
        </w:tc>
        <w:tc>
          <w:tcPr>
            <w:tcW w:w="1417" w:type="dxa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2030</w:t>
            </w:r>
          </w:p>
        </w:tc>
        <w:tc>
          <w:tcPr>
            <w:tcW w:w="1418" w:type="dxa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</w:t>
            </w:r>
          </w:p>
        </w:tc>
      </w:tr>
      <w:tr>
        <w:tc>
          <w:tcPr>
            <w:tcW w:w="709" w:type="dxa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4253" w:type="dxa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1417" w:type="dxa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1276" w:type="dxa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</w:t>
            </w:r>
          </w:p>
        </w:tc>
        <w:tc>
          <w:tcPr>
            <w:tcW w:w="1101" w:type="dxa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</w:t>
            </w:r>
          </w:p>
        </w:tc>
        <w:tc>
          <w:tcPr>
            <w:tcW w:w="1084" w:type="dxa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</w:t>
            </w:r>
          </w:p>
        </w:tc>
        <w:tc>
          <w:tcPr>
            <w:tcW w:w="1217" w:type="dxa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</w:t>
            </w:r>
          </w:p>
        </w:tc>
        <w:tc>
          <w:tcPr>
            <w:tcW w:w="1134" w:type="dxa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8</w:t>
            </w:r>
          </w:p>
        </w:tc>
        <w:tc>
          <w:tcPr>
            <w:tcW w:w="1417" w:type="dxa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9</w:t>
            </w:r>
          </w:p>
        </w:tc>
        <w:tc>
          <w:tcPr>
            <w:tcW w:w="1418" w:type="dxa"/>
          </w:tcPr>
          <w:p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Муниципальная программа 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Развити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е образования Ивнянского района» (всего),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в том числе: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02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776 111,82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820 407,1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902 278,7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741 027,9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741 027,9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741 027,9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4 721 881,32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Местный бюджет (всего), из них: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749 819,60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796 698,3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878 569,9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717 319,1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717 319,1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717 319,1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4 577 045,1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0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>
            <w:pPr>
              <w:pStyle w:val="formattext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</w:t>
            </w:r>
            <w:r>
              <w:rPr>
                <w:color w:val="000000" w:themeColor="text1"/>
                <w:sz w:val="20"/>
                <w:szCs w:val="20"/>
              </w:rPr>
              <w:t xml:space="preserve">справочно</w:t>
            </w:r>
            <w:r>
              <w:rPr>
                <w:color w:val="000000" w:themeColor="text1"/>
                <w:sz w:val="20"/>
                <w:szCs w:val="20"/>
              </w:rPr>
              <w:t xml:space="preserve">)</w:t>
            </w:r>
          </w:p>
        </w:tc>
        <w:tc>
          <w:tcPr>
            <w:tcW w:w="1417" w:type="dxa"/>
            <w:vMerge w:val="continue"/>
            <w:shd w:val="clear" w:color="auto" w:fill="auto"/>
          </w:tcPr>
          <w:p>
            <w:pPr>
              <w:rPr>
                <w:rFonts w:ascii="Times New Roman" w:hAnsi="Times New Roman" w:cs="Times New Roman"/>
                <w:color w:val="444444"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42 359,80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43 985,1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105 359,1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31 451,6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31 451,6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31 451,6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28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6 058,80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справочно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479 951,80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642 727,2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662 125,8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574 782,5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574 782,5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574 782,5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3 509 152,3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0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227 508,0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109 986,0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111 085,0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111 085,0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111 085,0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111 085,0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781 834,0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Внебюджетные источники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26 292,22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23 708,8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23 708,8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23 708,8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23 708,8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23 708,8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144 836,22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pStyle w:val="ConsPlusNormal"/>
              <w:rPr>
                <w:rFonts w:ascii="Times New Roman" w:hAnsi="Times New Roman" w:cs="Times New Roman"/>
                <w:color w:val="ff0000"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t xml:space="preserve">Объем налоговых расходов (</w:t>
            </w:r>
            <w:r>
              <w:rPr>
                <w:rFonts w:ascii="Times New Roman" w:hAnsi="Times New Roman" w:cs="Times New Roman"/>
                <w:bCs/>
                <w:szCs w:val="20"/>
              </w:rPr>
              <w:t xml:space="preserve">справочно</w:t>
            </w:r>
            <w:r>
              <w:rPr>
                <w:rFonts w:ascii="Times New Roman" w:hAnsi="Times New Roman" w:cs="Times New Roman"/>
                <w:bCs/>
                <w:szCs w:val="20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1.1</w:t>
            </w:r>
          </w:p>
        </w:tc>
        <w:tc>
          <w:tcPr>
            <w:tcW w:w="4253" w:type="dxa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Муниципальные проекты, 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входящие в национальные проекты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 (всего),  в том числе: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02 1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27 492 ,57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140 915,6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188 046,0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436 839,77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Местный бюджет (всего), из них: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27 492,57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140 915,6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188 046,0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436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 839,77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>
            <w:pPr>
              <w:pStyle w:val="formattext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</w:t>
            </w:r>
            <w:r>
              <w:rPr>
                <w:color w:val="000000" w:themeColor="text1"/>
                <w:sz w:val="20"/>
                <w:szCs w:val="20"/>
              </w:rPr>
              <w:t xml:space="preserve">справочно</w:t>
            </w:r>
            <w:r>
              <w:rPr>
                <w:color w:val="000000" w:themeColor="text1"/>
                <w:sz w:val="20"/>
                <w:szCs w:val="20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27 417,90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38 649,8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100 702,7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247 156,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справочно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39,8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102 265,8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87 343,3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189 648,9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34,87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34,87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Внебюджетные источники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1.1.1</w:t>
            </w: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Муниципал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ьный проект </w:t>
            </w:r>
          </w:p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«Все лучшее детям»  (всего), в том числе: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02 1 Ю 4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697,37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114 120,4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161 250,8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276 068,57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Местный бюджет (всего), из них: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697,37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114 120,4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161 250,8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276 068,57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>
            <w:pPr>
              <w:pStyle w:val="formattext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</w:t>
            </w:r>
            <w:r>
              <w:rPr>
                <w:color w:val="000000" w:themeColor="text1"/>
                <w:sz w:val="20"/>
                <w:szCs w:val="20"/>
              </w:rPr>
              <w:t xml:space="preserve">справочно</w:t>
            </w:r>
            <w:r>
              <w:rPr>
                <w:color w:val="000000" w:themeColor="text1"/>
                <w:sz w:val="20"/>
                <w:szCs w:val="20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622,7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11 854,6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73 907,5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86 384,8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справочно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39,8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102 265,8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87 343,3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189 648,9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34,87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34,87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Внебюджетные источники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1.1.2</w:t>
            </w: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Муницип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альный проект </w:t>
            </w:r>
          </w:p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«Педагоги и наставники» </w:t>
            </w:r>
          </w:p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(всего), в том числе: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02 1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Ю 6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160 771,2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Местный бюджет (всего), из них: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160 771,2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>
            <w:pPr>
              <w:pStyle w:val="formattext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</w:t>
            </w:r>
            <w:r>
              <w:rPr>
                <w:color w:val="000000" w:themeColor="text1"/>
                <w:sz w:val="20"/>
                <w:szCs w:val="20"/>
              </w:rPr>
              <w:t xml:space="preserve">справочно</w:t>
            </w:r>
            <w:r>
              <w:rPr>
                <w:color w:val="000000" w:themeColor="text1"/>
                <w:sz w:val="20"/>
                <w:szCs w:val="20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26 795,2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160 771,2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справочно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Внебюджетные источники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Муниципальные проекты,  не 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входящие в национальные проекты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 (всего),  в том числе: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02 2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8 019,5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8 019,5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Местный бюджет (всего), из них:</w:t>
            </w:r>
          </w:p>
        </w:tc>
        <w:tc>
          <w:tcPr>
            <w:tcW w:w="1417" w:type="dxa"/>
            <w:vMerge w:val="continue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8 019,5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8 019,5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справочно</w:t>
            </w: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7 939,3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7 939,3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 xml:space="preserve">справочно</w:t>
            </w:r>
            <w:r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80,2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80,2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0"/>
              </w:rPr>
              <w:t xml:space="preserve">- местный бюджет</w:t>
            </w:r>
          </w:p>
        </w:tc>
        <w:tc>
          <w:tcPr>
            <w:tcW w:w="1417" w:type="dxa"/>
            <w:vMerge w:val="continue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 xml:space="preserve">Внебюджетные источники</w:t>
            </w:r>
          </w:p>
        </w:tc>
        <w:tc>
          <w:tcPr>
            <w:tcW w:w="1417" w:type="dxa"/>
            <w:vMerge w:val="continue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1.2</w:t>
            </w: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Муниципальный проект</w:t>
            </w:r>
          </w:p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«Создание условий для обучения,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отдыха и оздоровления детей и молодежи» </w:t>
            </w:r>
          </w:p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(всего), в том числе: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02 2 01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8 019,5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8 019,5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Местный бюджет (всего), из них:</w:t>
            </w:r>
          </w:p>
        </w:tc>
        <w:tc>
          <w:tcPr>
            <w:tcW w:w="1417" w:type="dxa"/>
            <w:vMerge w:val="continue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8 019,5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8 019,5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справочно</w:t>
            </w: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7 939,3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7 939,3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 xml:space="preserve">справочно</w:t>
            </w:r>
            <w:r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80,2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80,2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0"/>
              </w:rPr>
              <w:t xml:space="preserve">- местный бюджет</w:t>
            </w:r>
          </w:p>
        </w:tc>
        <w:tc>
          <w:tcPr>
            <w:tcW w:w="1417" w:type="dxa"/>
            <w:vMerge w:val="continue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0"/>
              </w:rPr>
              <w:t xml:space="preserve">Внебюджетные источники</w:t>
            </w:r>
          </w:p>
        </w:tc>
        <w:tc>
          <w:tcPr>
            <w:tcW w:w="1417" w:type="dxa"/>
            <w:vMerge w:val="continue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1.3</w:t>
            </w:r>
          </w:p>
        </w:tc>
        <w:tc>
          <w:tcPr>
            <w:tcW w:w="4253" w:type="dxa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  <w:shd w:val="clear" w:color="auto" w:fill="ffffff"/>
              </w:rPr>
              <w:t xml:space="preserve">Комплексы процессных мероприятий (всего), в том числе: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02 4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740 599,75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679 491,5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714 232,7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714 232,7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714 232,7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714 232,7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4 277 022,05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Местный бюджет (всего), из них: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714 307,53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655 782,7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690 523,9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690 523,9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690 523,9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690 523,9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4 132 185,83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>
            <w:pPr>
              <w:pStyle w:val="formattext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</w:t>
            </w:r>
            <w:r>
              <w:rPr>
                <w:color w:val="000000" w:themeColor="text1"/>
                <w:sz w:val="20"/>
                <w:szCs w:val="20"/>
              </w:rPr>
              <w:t xml:space="preserve">справочно</w:t>
            </w:r>
            <w:r>
              <w:rPr>
                <w:color w:val="000000" w:themeColor="text1"/>
                <w:sz w:val="20"/>
                <w:szCs w:val="20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7 002,6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5 335,3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4 656,4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4 656,4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4 656,4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4 656,4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30 963,5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справочно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479 831,8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540 461,4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574 782,5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574 782,5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574 782,5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574 782,5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3 319 423,2 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227 473,13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109 986,0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111 085,0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111 085,0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111 085,0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111 085,0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781 799,13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Внебюджетные источники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26 292,22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23 708,8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23 708,8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23 708,8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23 708,8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23 708,8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144 836,22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.1</w:t>
            </w: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К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омплекс процессных мероприятий «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Реализация образовательных программ дошкольного образован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ия» </w:t>
            </w:r>
          </w:p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(всего), в том числе: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02 4 01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180 446,77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160 763,4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168 788,5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168 788,5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168 788,5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168 788,5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1 016 364,17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Местный бюджет (всего), из них: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171 302,0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151 890,6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159 915,7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159 915,7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159 915,7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159 915,7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962,855,4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>
            <w:pPr>
              <w:pStyle w:val="formattext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</w:t>
            </w:r>
            <w:r>
              <w:rPr>
                <w:color w:val="000000" w:themeColor="text1"/>
                <w:sz w:val="20"/>
                <w:szCs w:val="20"/>
              </w:rPr>
              <w:t xml:space="preserve">справочно</w:t>
            </w:r>
            <w:r>
              <w:rPr>
                <w:color w:val="000000" w:themeColor="text1"/>
                <w:sz w:val="20"/>
                <w:szCs w:val="20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справочно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145 648,5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151 584,6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159 606,7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159 606,7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159 606,7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159 606,7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935 659,9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25 653,5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306,0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309,0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309,0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309,0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309,0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27 195,5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Внебюджетные источники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9 144,77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8 872,8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8 872,8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8 872,8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8 872,8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8 872,8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53 508,77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.2</w:t>
            </w: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К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омплекс процессных мероприятий «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Реализация образователь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ных программ общего образования» (всего), в том числе: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02 4 02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429 275,3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393 638,6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418 685,1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418 685,1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418 685,1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418 685,1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2 497 654,3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Местный бюджет (всего), из них: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412 509,45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379 184,2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404 230,7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404 230,7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404 230,7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404 230,7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2 408 616,45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>
            <w:pPr>
              <w:pStyle w:val="formattext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</w:t>
            </w:r>
            <w:r>
              <w:rPr>
                <w:color w:val="000000" w:themeColor="text1"/>
                <w:sz w:val="20"/>
                <w:szCs w:val="20"/>
              </w:rPr>
              <w:t xml:space="preserve">справочно</w:t>
            </w:r>
            <w:r>
              <w:rPr>
                <w:color w:val="000000" w:themeColor="text1"/>
                <w:sz w:val="20"/>
                <w:szCs w:val="20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7 002,6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5 335,3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4 656,4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4 656,4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4 656,4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4 656,4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30 963,5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справочно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315 559,8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369 712,6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395 396,8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395 396,8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395 396,8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395 396,8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2 266 859,6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89 947,05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4 136,3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4 177,5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4 177,5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4 177,5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4 177,5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110 793,35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Внебюджетные источники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16 765,85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14 454,4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14 454,4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14 454,4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14 454,4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14 454,4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89 037,85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.3</w:t>
            </w: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К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омплекс процессных мероприятий «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Развитие до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полнительного образования детей» (всего), в том числе:</w:t>
            </w:r>
          </w:p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02 4 03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49 790,7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48 330,4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48 813,1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48 813,1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48 813,1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48 813,1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293 373,5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Местный бюджет (всего), из них: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49 790,7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48 330,4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48 813,1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48 813,1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48 813,1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48 813,1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293 373,5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>
            <w:pPr>
              <w:pStyle w:val="formattext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</w:t>
            </w:r>
            <w:r>
              <w:rPr>
                <w:color w:val="000000" w:themeColor="text1"/>
                <w:sz w:val="20"/>
                <w:szCs w:val="20"/>
              </w:rPr>
              <w:t xml:space="preserve">справочно</w:t>
            </w:r>
            <w:r>
              <w:rPr>
                <w:color w:val="000000" w:themeColor="text1"/>
                <w:sz w:val="20"/>
                <w:szCs w:val="20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справочно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местный бюджет</w:t>
            </w:r>
          </w:p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49 790,7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48 330,4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48 813,1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48 813,1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48 813,1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48 813,1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293 373,5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Внебюджетные источники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.4</w:t>
            </w: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К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омплекс процессных мероприятий «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Организация отдыха и оздоровление детей и подростков Ивнянско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го 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района  Белгородской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 области» (всего), в том числе:</w:t>
            </w:r>
          </w:p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02 4 04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2 941,98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1 075,8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1 103,6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1 103,6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1 103,6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1 103,6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8 432,18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Местный бюджет (всего), из них: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2 560,38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694,2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722,0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722,0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722,0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722,0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6 142,58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>
            <w:pPr>
              <w:pStyle w:val="formattext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</w:t>
            </w:r>
            <w:r>
              <w:rPr>
                <w:color w:val="000000" w:themeColor="text1"/>
                <w:sz w:val="20"/>
                <w:szCs w:val="20"/>
              </w:rPr>
              <w:t xml:space="preserve">справочно</w:t>
            </w:r>
            <w:r>
              <w:rPr>
                <w:color w:val="000000" w:themeColor="text1"/>
                <w:sz w:val="20"/>
                <w:szCs w:val="20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справочно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667,5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694,2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722,0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722,0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722,0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722,0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4 249,7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местный бюджет</w:t>
            </w:r>
          </w:p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1 892,88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1 892,88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Внебюджетные источники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381,6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381,6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381,6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381,6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381,6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381,6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2 289,6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.5</w:t>
            </w: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К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омплекс процессных мероприятий «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Развитие сист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емы оценки качества образования» (всего), в том числе:</w:t>
            </w:r>
          </w:p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02 4 05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10 441,8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10 500,6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10 605,6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10 605,6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10 605,6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10 605,6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63 364,8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Местный бюджет (всего), из них: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10 441,8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10 500,6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10 605,6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10 605,6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10 605,6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10 605,6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63 364,8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>
            <w:pPr>
              <w:pStyle w:val="formattext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</w:t>
            </w:r>
            <w:r>
              <w:rPr>
                <w:color w:val="000000" w:themeColor="text1"/>
                <w:sz w:val="20"/>
                <w:szCs w:val="20"/>
              </w:rPr>
              <w:t xml:space="preserve">справочно</w:t>
            </w:r>
            <w:r>
              <w:rPr>
                <w:color w:val="000000" w:themeColor="text1"/>
                <w:sz w:val="20"/>
                <w:szCs w:val="20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справочно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местный бюджет</w:t>
            </w:r>
          </w:p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10 441,8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10 500,6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10 605,6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10 605,6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10 605,6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10 605,6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63 364,8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Внебюджетные источники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.6</w:t>
            </w: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К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омплекс процессных мероприятий «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Обеспечение реализации муниципально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й программы в сфере образования» (всего), в том числе: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02 4 06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67 703,2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65 182,7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66 236,8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66 236,8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66 236,8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66 236,8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397 833,1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Местный бюджет (всего), из них: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67 703,2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65 182,7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66 236,8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66 236,8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66 236,8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66 236,8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397 833,1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>
            <w:pPr>
              <w:pStyle w:val="formattext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</w:t>
            </w:r>
            <w:r>
              <w:rPr>
                <w:color w:val="000000" w:themeColor="text1"/>
                <w:sz w:val="20"/>
                <w:szCs w:val="20"/>
              </w:rPr>
              <w:t xml:space="preserve">справочно</w:t>
            </w:r>
            <w:r>
              <w:rPr>
                <w:color w:val="000000" w:themeColor="text1"/>
                <w:sz w:val="20"/>
                <w:szCs w:val="20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справочно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17 956,0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18 470,0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19 057,0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19 057,0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19 057,0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19 057,0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112 654,0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ABS() \# "# ##0" </w:instrTex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49 747,2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46 712,7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47 179,8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47 179,8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47 179,8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47 179,8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285 179,1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Внебюджетные источники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w="709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Нераспределенный резерв (местный бюджет)</w:t>
            </w:r>
          </w:p>
        </w:tc>
        <w:tc>
          <w:tcPr>
            <w:tcW w:w="1417" w:type="dxa"/>
            <w:vMerge w:val="continu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2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</w:t>
            </w:r>
          </w:p>
        </w:tc>
      </w:tr>
    </w:tbl>
    <w:p>
      <w:pPr>
        <w:pStyle w:val="ConsPlusTitle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>
      <w:pPr>
        <w:pStyle w:val="ConsPlusTitle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Приложение 2</w:t>
      </w:r>
    </w:p>
    <w:p>
      <w:pPr>
        <w:widowControl/>
        <w:shd w:val="clear" w:color="auto" w:fill="ffffff"/>
        <w:jc w:val="right"/>
        <w:outlineLvl w:val="3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к постановлению администрации</w:t>
      </w:r>
    </w:p>
    <w:p>
      <w:pPr>
        <w:widowControl/>
        <w:shd w:val="clear" w:color="auto" w:fill="ffffff"/>
        <w:jc w:val="center"/>
        <w:outlineLvl w:val="3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Ивнянского</w:t>
      </w: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района</w:t>
      </w:r>
    </w:p>
    <w:p>
      <w:pPr>
        <w:widowControl/>
        <w:shd w:val="clear" w:color="auto" w:fill="ffffff"/>
        <w:jc w:val="right"/>
        <w:outlineLvl w:val="3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«___</w:t>
      </w: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_»_</w:t>
      </w: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________2025 г.</w:t>
      </w:r>
    </w:p>
    <w:p>
      <w:pPr>
        <w:pStyle w:val="ConsPlusTitle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Паспорт муниципального проекта</w:t>
      </w:r>
    </w:p>
    <w:p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«Создание условий для обучения, отдыха и оздоровления детей и молодежи</w:t>
      </w:r>
      <w:r>
        <w:rPr>
          <w:rFonts w:ascii="Times New Roman" w:hAnsi="Times New Roman" w:cs="Times New Roman"/>
          <w:sz w:val="27"/>
          <w:szCs w:val="27"/>
        </w:rPr>
        <w:t xml:space="preserve">»,</w:t>
      </w:r>
    </w:p>
    <w:p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не </w:t>
      </w:r>
      <w:r>
        <w:rPr>
          <w:rFonts w:ascii="Times New Roman" w:hAnsi="Times New Roman" w:cs="Times New Roman"/>
          <w:sz w:val="27"/>
          <w:szCs w:val="27"/>
        </w:rPr>
        <w:t xml:space="preserve">входящий</w:t>
      </w:r>
      <w:r>
        <w:rPr>
          <w:rFonts w:ascii="Times New Roman" w:hAnsi="Times New Roman" w:cs="Times New Roman"/>
          <w:sz w:val="27"/>
          <w:szCs w:val="27"/>
        </w:rPr>
        <w:t xml:space="preserve"> в состав национального проекта </w:t>
      </w:r>
    </w:p>
    <w:p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(далее - муниципальный проект 3)</w:t>
      </w:r>
    </w:p>
    <w:p>
      <w:pPr>
        <w:pStyle w:val="ConsPlusTitle"/>
        <w:jc w:val="center"/>
        <w:outlineLvl w:val="2"/>
        <w:rPr>
          <w:sz w:val="27"/>
          <w:szCs w:val="27"/>
        </w:rPr>
      </w:pPr>
    </w:p>
    <w:p>
      <w:pPr>
        <w:pStyle w:val="ConsPlusTitle"/>
        <w:numPr>
          <w:numId w:val="8"/>
          <w:ilvl w:val="0"/>
        </w:numPr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Основные положения</w:t>
      </w:r>
    </w:p>
    <w:p>
      <w:pPr>
        <w:widowControl/>
        <w:tabs>
          <w:tab w:val="left" w:pos="1668"/>
        </w:tabs>
        <w:spacing w:line="259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3402"/>
        <w:gridCol w:w="3119"/>
        <w:gridCol w:w="1843"/>
        <w:gridCol w:w="1979"/>
      </w:tblGrid>
      <w:tr>
        <w:tc>
          <w:tcPr>
            <w:tcW w:w="3397" w:type="dxa"/>
          </w:tcPr>
          <w:p>
            <w:pPr>
              <w:rPr>
                <w:rFonts w:ascii="Times New Roman" w:hAnsi="Times New Roman" w:cs="Times New Roman" w:eastAsiaTheme="minorEastAsia"/>
                <w:color w:val="auto"/>
              </w:rPr>
            </w:pPr>
            <w:r>
              <w:rPr>
                <w:rFonts w:ascii="Times New Roman" w:hAnsi="Times New Roman" w:cs="Times New Roman" w:eastAsiaTheme="minorEastAsia"/>
                <w:color w:val="auto"/>
              </w:rPr>
              <w:t xml:space="preserve">Краткое наименование муниципального проекта</w:t>
            </w:r>
          </w:p>
        </w:tc>
        <w:tc>
          <w:tcPr>
            <w:tcW w:w="3402" w:type="dxa"/>
          </w:tcPr>
          <w:p>
            <w:pPr>
              <w:rPr>
                <w:rFonts w:ascii="Times New Roman" w:hAnsi="Times New Roman" w:cs="Times New Roman" w:eastAsiaTheme="minorEastAsia"/>
                <w:color w:val="auto"/>
              </w:rPr>
            </w:pPr>
            <w:r>
              <w:rPr>
                <w:rFonts w:ascii="Times New Roman" w:hAnsi="Times New Roman" w:cs="Times New Roman" w:eastAsiaTheme="minorEastAsia"/>
                <w:color w:val="auto"/>
              </w:rPr>
              <w:t xml:space="preserve">Все лучшее детям</w:t>
            </w:r>
          </w:p>
        </w:tc>
        <w:tc>
          <w:tcPr>
            <w:tcW w:w="311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</w:rPr>
            </w:pPr>
            <w:r>
              <w:rPr>
                <w:rFonts w:ascii="Times New Roman" w:hAnsi="Times New Roman" w:cs="Times New Roman" w:eastAsiaTheme="minorEastAsia"/>
                <w:color w:val="auto"/>
              </w:rPr>
              <w:t xml:space="preserve">Срок реализации проекта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</w:rPr>
            </w:pPr>
            <w:r>
              <w:rPr>
                <w:rFonts w:ascii="Times New Roman" w:hAnsi="Times New Roman" w:cs="Times New Roman" w:eastAsiaTheme="minorEastAsia"/>
                <w:color w:val="auto"/>
              </w:rPr>
              <w:t xml:space="preserve">01.01.2025</w:t>
            </w:r>
          </w:p>
        </w:tc>
        <w:tc>
          <w:tcPr>
            <w:tcW w:w="197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</w:rPr>
            </w:pPr>
            <w:r>
              <w:rPr>
                <w:rFonts w:ascii="Times New Roman" w:hAnsi="Times New Roman" w:cs="Times New Roman" w:eastAsiaTheme="minorEastAsia"/>
                <w:color w:val="auto"/>
              </w:rPr>
              <w:t xml:space="preserve">31.12.2030</w:t>
            </w:r>
          </w:p>
        </w:tc>
      </w:tr>
      <w:tr>
        <w:tc>
          <w:tcPr>
            <w:tcW w:w="3397" w:type="dxa"/>
          </w:tcPr>
          <w:p>
            <w:pPr>
              <w:rPr>
                <w:rFonts w:ascii="Times New Roman" w:hAnsi="Times New Roman" w:cs="Times New Roman" w:eastAsiaTheme="minorEastAsia"/>
                <w:color w:val="auto"/>
              </w:rPr>
            </w:pPr>
            <w:r>
              <w:rPr>
                <w:rFonts w:ascii="Times New Roman" w:hAnsi="Times New Roman" w:cs="Times New Roman" w:eastAsiaTheme="minorEastAsia"/>
                <w:color w:val="auto"/>
              </w:rPr>
              <w:t xml:space="preserve">Куратор муниципального проекта</w:t>
            </w:r>
          </w:p>
        </w:tc>
        <w:tc>
          <w:tcPr>
            <w:tcW w:w="3402" w:type="dxa"/>
          </w:tcPr>
          <w:p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bCs/>
                <w:color w:val="auto"/>
                <w:spacing w:val="1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1"/>
              </w:rPr>
              <w:t xml:space="preserve">Абраменко Татьяна Викторовна </w:t>
            </w:r>
          </w:p>
        </w:tc>
        <w:tc>
          <w:tcPr>
            <w:tcW w:w="6941" w:type="dxa"/>
            <w:gridSpan w:val="3"/>
          </w:tcPr>
          <w:p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bCs/>
                <w:color w:val="auto"/>
                <w:spacing w:val="1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1"/>
              </w:rPr>
              <w:t xml:space="preserve">Заместитель главы администрации Ивнянского района   по социально - культурному развитию</w:t>
            </w:r>
          </w:p>
        </w:tc>
      </w:tr>
      <w:tr>
        <w:tc>
          <w:tcPr>
            <w:tcW w:w="3397" w:type="dxa"/>
          </w:tcPr>
          <w:p>
            <w:pPr>
              <w:rPr>
                <w:rFonts w:ascii="Times New Roman" w:hAnsi="Times New Roman" w:cs="Times New Roman" w:eastAsiaTheme="minorEastAsia"/>
                <w:color w:val="auto"/>
              </w:rPr>
            </w:pPr>
            <w:r>
              <w:rPr>
                <w:rFonts w:ascii="Times New Roman" w:hAnsi="Times New Roman" w:cs="Times New Roman" w:eastAsiaTheme="minorEastAsia"/>
                <w:color w:val="auto"/>
              </w:rPr>
              <w:t xml:space="preserve">Руководитель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>
              <w:rPr>
                <w:rFonts w:ascii="Times New Roman" w:hAnsi="Times New Roman" w:cs="Times New Roman" w:eastAsiaTheme="minorEastAsia"/>
                <w:color w:val="auto"/>
              </w:rPr>
              <w:t xml:space="preserve">проекта</w:t>
            </w:r>
          </w:p>
        </w:tc>
        <w:tc>
          <w:tcPr>
            <w:tcW w:w="3402" w:type="dxa"/>
          </w:tcPr>
          <w:p>
            <w:pPr>
              <w:pStyle w:val="a6"/>
              <w:spacing w:line="276" w:lineRule="auto"/>
              <w:ind w:left="0"/>
              <w:rPr>
                <w:rFonts w:ascii="Times New Roman" w:hAnsi="Times New Roman" w:cs="Times New Roman"/>
                <w:bCs/>
                <w:color w:val="000000" w:themeColor="text1"/>
                <w:spacing w:val="1"/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</w:rPr>
              <w:t xml:space="preserve">Билецкая</w:t>
            </w:r>
            <w:r>
              <w:rPr>
                <w:rFonts w:ascii="Times New Roman" w:hAnsi="Times New Roman" w:cs="Times New Roman" w:eastAsiaTheme="minorEastAsia"/>
                <w:color w:val="000000" w:themeColor="text1"/>
              </w:rPr>
              <w:t xml:space="preserve"> Татьяна Дмитриевна</w:t>
            </w:r>
          </w:p>
        </w:tc>
        <w:tc>
          <w:tcPr>
            <w:tcW w:w="6941" w:type="dxa"/>
            <w:gridSpan w:val="3"/>
          </w:tcPr>
          <w:p>
            <w:pPr>
              <w:rPr>
                <w:rFonts w:ascii="Times New Roman" w:hAnsi="Times New Roman" w:cs="Times New Roman" w:eastAsiaTheme="minorEastAsia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pacing w:val="1"/>
              </w:rPr>
              <w:t xml:space="preserve">Нач</w:t>
            </w:r>
            <w:r>
              <w:rPr>
                <w:rFonts w:ascii="Times New Roman" w:hAnsi="Times New Roman" w:cs="Times New Roman"/>
                <w:bCs/>
                <w:color w:val="000000" w:themeColor="text1"/>
                <w:spacing w:val="1"/>
              </w:rPr>
              <w:t xml:space="preserve">альник управления муниципальное казённое учреждение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pacing w:val="1"/>
              </w:rPr>
              <w:t xml:space="preserve"> «Управление образования администрации муниципального района «</w:t>
            </w:r>
            <w:r>
              <w:rPr>
                <w:rFonts w:ascii="Times New Roman" w:hAnsi="Times New Roman" w:cs="Times New Roman"/>
                <w:bCs/>
                <w:color w:val="000000" w:themeColor="text1"/>
                <w:spacing w:val="1"/>
              </w:rPr>
              <w:t xml:space="preserve">Ивнянский</w:t>
            </w:r>
            <w:r>
              <w:rPr>
                <w:rFonts w:ascii="Times New Roman" w:hAnsi="Times New Roman" w:cs="Times New Roman"/>
                <w:bCs/>
                <w:color w:val="000000" w:themeColor="text1"/>
                <w:spacing w:val="1"/>
              </w:rPr>
              <w:t xml:space="preserve"> район»</w:t>
            </w:r>
            <w:r>
              <w:rPr>
                <w:rFonts w:ascii="Times New Roman" w:hAnsi="Times New Roman" w:cs="Times New Roman"/>
                <w:bCs/>
                <w:color w:val="000000" w:themeColor="text1"/>
                <w:spacing w:val="1"/>
              </w:rPr>
              <w:t xml:space="preserve"> Белгородской области </w:t>
            </w:r>
          </w:p>
        </w:tc>
      </w:tr>
      <w:tr>
        <w:tc>
          <w:tcPr>
            <w:tcW w:w="3397" w:type="dxa"/>
            <w:vMerge w:val="restart"/>
          </w:tcPr>
          <w:p>
            <w:pPr>
              <w:rPr>
                <w:rFonts w:ascii="Times New Roman" w:hAnsi="Times New Roman" w:cs="Times New Roman" w:eastAsiaTheme="minorEastAsia"/>
                <w:color w:val="auto"/>
              </w:rPr>
            </w:pPr>
            <w:r>
              <w:rPr>
                <w:rFonts w:ascii="Times New Roman" w:hAnsi="Times New Roman" w:cs="Times New Roman" w:eastAsiaTheme="minorEastAsia"/>
                <w:color w:val="auto"/>
              </w:rPr>
              <w:t xml:space="preserve">Связь с государственными программами (комплексными программами) Российской Федерации и с государственными программами (комплексными программами) Белгородской области</w:t>
            </w:r>
          </w:p>
        </w:tc>
        <w:tc>
          <w:tcPr>
            <w:tcW w:w="3402" w:type="dxa"/>
          </w:tcPr>
          <w:p>
            <w:pPr>
              <w:rPr>
                <w:rFonts w:ascii="Times New Roman" w:hAnsi="Times New Roman" w:cs="Times New Roman" w:eastAsiaTheme="minorEastAsia"/>
                <w:color w:val="auto"/>
              </w:rPr>
            </w:pPr>
            <w:r>
              <w:rPr>
                <w:rFonts w:ascii="Times New Roman" w:hAnsi="Times New Roman" w:cs="Times New Roman" w:eastAsiaTheme="minorEastAsia"/>
                <w:color w:val="auto"/>
              </w:rPr>
              <w:t xml:space="preserve">Муниципальная программа Ивнянского района Белгородской области</w:t>
            </w:r>
          </w:p>
        </w:tc>
        <w:tc>
          <w:tcPr>
            <w:tcW w:w="6941" w:type="dxa"/>
            <w:gridSpan w:val="3"/>
          </w:tcPr>
          <w:p>
            <w:pPr>
              <w:widowControl/>
              <w:tabs>
                <w:tab w:val="left" w:pos="1668"/>
              </w:tabs>
              <w:spacing w:after="160"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color w:val="auto"/>
              </w:rPr>
              <w:t xml:space="preserve">«</w:t>
            </w:r>
            <w:r>
              <w:rPr>
                <w:rFonts w:ascii="Times New Roman" w:hAnsi="Times New Roman" w:cs="Times New Roman" w:eastAsiaTheme="minorEastAsia"/>
                <w:color w:val="auto"/>
              </w:rPr>
              <w:t xml:space="preserve">Развитие образования Ивнянского района Белгородской области</w:t>
            </w:r>
            <w:r>
              <w:rPr>
                <w:rFonts w:ascii="Times New Roman" w:hAnsi="Times New Roman" w:cs="Times New Roman" w:eastAsiaTheme="minorEastAsia"/>
                <w:color w:val="auto"/>
              </w:rPr>
              <w:t xml:space="preserve">»</w:t>
            </w:r>
          </w:p>
        </w:tc>
      </w:tr>
      <w:tr>
        <w:tc>
          <w:tcPr>
            <w:tcW w:w="3397" w:type="dxa"/>
            <w:vMerge w:val="continue"/>
          </w:tcPr>
          <w:p>
            <w:pPr>
              <w:widowControl/>
              <w:tabs>
                <w:tab w:val="left" w:pos="1668"/>
              </w:tabs>
              <w:spacing w:after="160"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</w:tcPr>
          <w:p>
            <w:pPr>
              <w:widowControl/>
              <w:tabs>
                <w:tab w:val="left" w:pos="1668"/>
              </w:tabs>
              <w:spacing w:after="160"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color w:val="auto"/>
              </w:rPr>
              <w:t xml:space="preserve">Муниципальная программа Белгородской области Государственная программа Российской Федерации</w:t>
            </w:r>
          </w:p>
        </w:tc>
        <w:tc>
          <w:tcPr>
            <w:tcW w:w="6941" w:type="dxa"/>
            <w:gridSpan w:val="3"/>
          </w:tcPr>
          <w:p>
            <w:pPr>
              <w:widowControl/>
              <w:tabs>
                <w:tab w:val="left" w:pos="1668"/>
              </w:tabs>
              <w:spacing w:after="160"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color w:val="auto"/>
              </w:rPr>
              <w:t xml:space="preserve">«</w:t>
            </w:r>
            <w:r>
              <w:rPr>
                <w:rFonts w:ascii="Times New Roman" w:hAnsi="Times New Roman" w:cs="Times New Roman" w:eastAsiaTheme="minorEastAsia"/>
                <w:color w:val="auto"/>
              </w:rPr>
              <w:t xml:space="preserve">Развитие образования</w:t>
            </w:r>
            <w:r>
              <w:rPr>
                <w:rFonts w:ascii="Times New Roman" w:hAnsi="Times New Roman" w:cs="Times New Roman" w:eastAsiaTheme="minorEastAsia"/>
                <w:color w:val="auto"/>
              </w:rPr>
              <w:t xml:space="preserve"> Белгородской области»</w:t>
            </w:r>
          </w:p>
        </w:tc>
      </w:tr>
    </w:tbl>
    <w:p>
      <w:pPr>
        <w:widowControl/>
        <w:tabs>
          <w:tab w:val="left" w:pos="1668"/>
        </w:tabs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  <w:sectPr>
          <w:pgSz w:w="16838" w:h="11906" w:orient="landscape"/>
          <w:pgMar w:top="1134" w:right="1387" w:bottom="1134" w:left="1701" w:header="708" w:footer="708" w:gutter="0"/>
          <w:cols w:space="708"/>
          <w:docGrid w:linePitch="360"/>
        </w:sectPr>
      </w:pPr>
    </w:p>
    <w:p>
      <w:pPr>
        <w:tabs>
          <w:tab w:val="left" w:pos="1080"/>
        </w:tabs>
      </w:pPr>
    </w:p>
    <w:p>
      <w:pPr>
        <w:pStyle w:val="ConsPlusDocList"/>
        <w:numPr>
          <w:numId w:val="12"/>
          <w:ilvl w:val="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Показатели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>
      <w:pPr>
        <w:pStyle w:val="ConsPlusDocList"/>
        <w:ind w:left="72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317" w:type="dxa"/>
        <w:tblInd w:w="4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2041"/>
        <w:gridCol w:w="1474"/>
        <w:gridCol w:w="680"/>
        <w:gridCol w:w="1294"/>
        <w:gridCol w:w="624"/>
        <w:gridCol w:w="604"/>
        <w:gridCol w:w="732"/>
        <w:gridCol w:w="16"/>
        <w:gridCol w:w="693"/>
        <w:gridCol w:w="709"/>
        <w:gridCol w:w="709"/>
        <w:gridCol w:w="708"/>
        <w:gridCol w:w="661"/>
        <w:gridCol w:w="1466"/>
        <w:gridCol w:w="1422"/>
      </w:tblGrid>
      <w:tr>
        <w:tc>
          <w:tcPr>
            <w:tcW w:w="484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N п/п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Показатели Муниципального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 (ведомственного) проекта</w:t>
            </w:r>
          </w:p>
        </w:tc>
        <w:tc>
          <w:tcPr>
            <w:tcW w:w="1474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Признак возрастания/убывания</w:t>
            </w:r>
          </w:p>
        </w:tc>
        <w:tc>
          <w:tcPr>
            <w:tcW w:w="680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Уровень показателя</w:t>
            </w:r>
          </w:p>
        </w:tc>
        <w:tc>
          <w:tcPr>
            <w:tcW w:w="1294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Единица измерения (по </w:t>
            </w:r>
      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>
              <w:r>
                <w:rPr>
                  <w:rFonts w:ascii="Times New Roman" w:hAnsi="Times New Roman" w:cs="Times New Roman" w:eastAsiaTheme="minorEastAsia"/>
                  <w:color w:val="0000ff"/>
                  <w:sz w:val="20"/>
                  <w:szCs w:val="22"/>
                </w:rPr>
                <w:t xml:space="preserve">ОКЕИ</w:t>
              </w:r>
            </w:hyperlink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)</w:t>
            </w:r>
          </w:p>
        </w:tc>
        <w:tc>
          <w:tcPr>
            <w:tcW w:w="1228" w:type="dxa"/>
            <w:gridSpan w:val="2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Базовое значение</w:t>
            </w:r>
          </w:p>
        </w:tc>
        <w:tc>
          <w:tcPr>
            <w:tcW w:w="4228" w:type="dxa"/>
            <w:gridSpan w:val="7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Период, год</w:t>
            </w:r>
          </w:p>
        </w:tc>
        <w:tc>
          <w:tcPr>
            <w:tcW w:w="1466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Нарастающий итог</w:t>
            </w:r>
          </w:p>
        </w:tc>
        <w:tc>
          <w:tcPr>
            <w:tcW w:w="1422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Признак "Участие муниципального образования"</w:t>
            </w:r>
          </w:p>
        </w:tc>
      </w:tr>
      <w:tr>
        <w:tc>
          <w:tcPr>
            <w:tcW w:w="484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2041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474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680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294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62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значение</w:t>
            </w:r>
          </w:p>
        </w:tc>
        <w:tc>
          <w:tcPr>
            <w:tcW w:w="60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год</w:t>
            </w:r>
          </w:p>
        </w:tc>
        <w:tc>
          <w:tcPr>
            <w:tcW w:w="73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2025</w:t>
            </w:r>
          </w:p>
        </w:tc>
        <w:tc>
          <w:tcPr>
            <w:tcW w:w="709" w:type="dxa"/>
            <w:gridSpan w:val="2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2026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2027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2028</w:t>
            </w:r>
          </w:p>
        </w:tc>
        <w:tc>
          <w:tcPr>
            <w:tcW w:w="70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2029</w:t>
            </w:r>
          </w:p>
        </w:tc>
        <w:tc>
          <w:tcPr>
            <w:tcW w:w="66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2030</w:t>
            </w:r>
          </w:p>
        </w:tc>
        <w:tc>
          <w:tcPr>
            <w:tcW w:w="1466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422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</w:tr>
      <w:tr>
        <w:tc>
          <w:tcPr>
            <w:tcW w:w="484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</w:t>
            </w:r>
          </w:p>
        </w:tc>
        <w:tc>
          <w:tcPr>
            <w:tcW w:w="2041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3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4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5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7</w:t>
            </w: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8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12</w:t>
            </w:r>
          </w:p>
        </w:tc>
        <w:tc>
          <w:tcPr>
            <w:tcW w:w="661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13</w:t>
            </w:r>
          </w:p>
        </w:tc>
        <w:tc>
          <w:tcPr>
            <w:tcW w:w="1466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14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15</w:t>
            </w:r>
          </w:p>
        </w:tc>
      </w:tr>
      <w:tr>
        <w:tc>
          <w:tcPr>
            <w:tcW w:w="48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1.</w:t>
            </w:r>
          </w:p>
        </w:tc>
        <w:tc>
          <w:tcPr>
            <w:tcW w:w="13833" w:type="dxa"/>
            <w:gridSpan w:val="15"/>
          </w:tcPr>
          <w:p>
            <w:pP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0"/>
              </w:rPr>
              <w:t xml:space="preserve">Задача</w:t>
            </w: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0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Обеспечена организация отдыха и оздоровления детей за пределами Белгородской области"</w:t>
            </w:r>
          </w:p>
        </w:tc>
      </w:tr>
      <w:tr>
        <w:tc>
          <w:tcPr>
            <w:tcW w:w="48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1.1</w:t>
            </w:r>
          </w:p>
        </w:tc>
        <w:tc>
          <w:tcPr>
            <w:tcW w:w="2041" w:type="dxa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обучающихся общеобразовательных организаций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Ивнянского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Белгородской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обеспеченных отдыхом и оздоровлением</w:t>
            </w:r>
          </w:p>
        </w:tc>
        <w:tc>
          <w:tcPr>
            <w:tcW w:w="147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П</w:t>
            </w:r>
          </w:p>
        </w:tc>
        <w:tc>
          <w:tcPr>
            <w:tcW w:w="68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МП</w:t>
            </w:r>
          </w:p>
        </w:tc>
        <w:tc>
          <w:tcPr>
            <w:tcW w:w="129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процент</w:t>
            </w:r>
          </w:p>
        </w:tc>
        <w:tc>
          <w:tcPr>
            <w:tcW w:w="62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0</w:t>
            </w:r>
          </w:p>
        </w:tc>
        <w:tc>
          <w:tcPr>
            <w:tcW w:w="60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2024</w:t>
            </w:r>
          </w:p>
        </w:tc>
        <w:tc>
          <w:tcPr>
            <w:tcW w:w="748" w:type="dxa"/>
            <w:gridSpan w:val="2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100</w:t>
            </w:r>
          </w:p>
        </w:tc>
        <w:tc>
          <w:tcPr>
            <w:tcW w:w="69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100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10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100</w:t>
            </w:r>
          </w:p>
        </w:tc>
        <w:tc>
          <w:tcPr>
            <w:tcW w:w="70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100</w:t>
            </w:r>
          </w:p>
        </w:tc>
        <w:tc>
          <w:tcPr>
            <w:tcW w:w="66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100</w:t>
            </w:r>
          </w:p>
        </w:tc>
        <w:tc>
          <w:tcPr>
            <w:tcW w:w="1466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нет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нет</w:t>
            </w:r>
          </w:p>
        </w:tc>
      </w:tr>
    </w:tbl>
    <w:p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Помесячный план достижения показателей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в 2025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317" w:type="dxa"/>
        <w:tblInd w:w="4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2296"/>
        <w:gridCol w:w="1219"/>
        <w:gridCol w:w="1204"/>
        <w:gridCol w:w="544"/>
        <w:gridCol w:w="833"/>
        <w:gridCol w:w="708"/>
        <w:gridCol w:w="709"/>
        <w:gridCol w:w="709"/>
        <w:gridCol w:w="709"/>
        <w:gridCol w:w="850"/>
        <w:gridCol w:w="851"/>
        <w:gridCol w:w="708"/>
        <w:gridCol w:w="709"/>
        <w:gridCol w:w="851"/>
        <w:gridCol w:w="992"/>
      </w:tblGrid>
      <w:tr>
        <w:tc>
          <w:tcPr>
            <w:tcW w:w="425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N п/п</w:t>
            </w:r>
          </w:p>
        </w:tc>
        <w:tc>
          <w:tcPr>
            <w:tcW w:w="2296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Показат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ели муниципального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 проекта</w:t>
            </w:r>
          </w:p>
        </w:tc>
        <w:tc>
          <w:tcPr>
            <w:tcW w:w="1219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Уровень показателя</w:t>
            </w:r>
          </w:p>
        </w:tc>
        <w:tc>
          <w:tcPr>
            <w:tcW w:w="1204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Единица измерения (по </w:t>
            </w:r>
      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>
              <w:r>
                <w:rPr>
                  <w:rFonts w:ascii="Times New Roman" w:hAnsi="Times New Roman" w:cs="Times New Roman" w:eastAsiaTheme="minorEastAsia"/>
                  <w:color w:val="0000ff"/>
                  <w:sz w:val="20"/>
                  <w:szCs w:val="22"/>
                </w:rPr>
                <w:t xml:space="preserve">ОКЕИ</w:t>
              </w:r>
            </w:hyperlink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)</w:t>
            </w:r>
          </w:p>
        </w:tc>
        <w:tc>
          <w:tcPr>
            <w:tcW w:w="8181" w:type="dxa"/>
            <w:gridSpan w:val="11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Плановые значения по кварталам/месяцам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На конец 2025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 года</w:t>
            </w:r>
          </w:p>
        </w:tc>
      </w:tr>
      <w:tr>
        <w:tc>
          <w:tcPr>
            <w:tcW w:w="425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2296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219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204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54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янв.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фев.</w:t>
            </w:r>
          </w:p>
        </w:tc>
        <w:tc>
          <w:tcPr>
            <w:tcW w:w="70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март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апр.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май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июнь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июль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авг.</w:t>
            </w:r>
          </w:p>
        </w:tc>
        <w:tc>
          <w:tcPr>
            <w:tcW w:w="70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сен.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окт.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ноябрь</w:t>
            </w:r>
          </w:p>
        </w:tc>
        <w:tc>
          <w:tcPr>
            <w:tcW w:w="992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</w:tr>
      <w:tr>
        <w:tc>
          <w:tcPr>
            <w:tcW w:w="425" w:type="dxa"/>
            <w:vAlign w:val="center"/>
          </w:tcPr>
          <w:p>
            <w:pPr>
              <w:jc w:val="right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1.</w:t>
            </w:r>
          </w:p>
        </w:tc>
        <w:tc>
          <w:tcPr>
            <w:tcW w:w="13892" w:type="dxa"/>
            <w:gridSpan w:val="15"/>
          </w:tcPr>
          <w:p>
            <w:pP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Задача </w:t>
            </w: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0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Обеспечена организация отдыха и оздоровления детей за пределами Белгородской области"</w:t>
            </w:r>
          </w:p>
        </w:tc>
      </w:tr>
      <w:tr>
        <w:tc>
          <w:tcPr>
            <w:tcW w:w="425" w:type="dxa"/>
            <w:vAlign w:val="center"/>
          </w:tcPr>
          <w:p>
            <w:pPr>
              <w:jc w:val="right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1.1.</w:t>
            </w:r>
          </w:p>
        </w:tc>
        <w:tc>
          <w:tcPr>
            <w:tcW w:w="2296" w:type="dxa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обучающихся общеобразовательных организаций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Ивнянского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Белгородской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обеспеченных отдыхом и оздоровлением</w:t>
            </w:r>
          </w:p>
        </w:tc>
        <w:tc>
          <w:tcPr>
            <w:tcW w:w="121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МП</w:t>
            </w:r>
          </w:p>
        </w:tc>
        <w:tc>
          <w:tcPr>
            <w:tcW w:w="120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Процент </w:t>
            </w:r>
          </w:p>
        </w:tc>
        <w:tc>
          <w:tcPr>
            <w:tcW w:w="54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70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100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100</w:t>
            </w:r>
          </w:p>
        </w:tc>
        <w:tc>
          <w:tcPr>
            <w:tcW w:w="70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100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100</w:t>
            </w:r>
          </w:p>
        </w:tc>
      </w:tr>
    </w:tbl>
    <w:p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</w:t>
      </w:r>
      <w:r>
        <w:rPr>
          <w:rFonts w:ascii="Times New Roman" w:hAnsi="Times New Roman" w:cs="Times New Roman"/>
          <w:sz w:val="28"/>
          <w:szCs w:val="28"/>
        </w:rPr>
        <w:t xml:space="preserve">Меропр</w:t>
      </w:r>
      <w:r>
        <w:rPr>
          <w:rFonts w:ascii="Times New Roman" w:hAnsi="Times New Roman" w:cs="Times New Roman"/>
          <w:sz w:val="28"/>
          <w:szCs w:val="28"/>
        </w:rPr>
        <w:t xml:space="preserve">иятия (результаты)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530" w:type="dxa"/>
        <w:tblInd w:w="8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1921"/>
        <w:gridCol w:w="1201"/>
        <w:gridCol w:w="784"/>
        <w:gridCol w:w="624"/>
        <w:gridCol w:w="794"/>
        <w:gridCol w:w="642"/>
        <w:gridCol w:w="708"/>
        <w:gridCol w:w="709"/>
        <w:gridCol w:w="709"/>
        <w:gridCol w:w="709"/>
        <w:gridCol w:w="714"/>
        <w:gridCol w:w="1054"/>
        <w:gridCol w:w="850"/>
        <w:gridCol w:w="851"/>
        <w:gridCol w:w="1776"/>
      </w:tblGrid>
      <w:tr>
        <w:tc>
          <w:tcPr>
            <w:tcW w:w="484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N п/п</w:t>
            </w:r>
          </w:p>
        </w:tc>
        <w:tc>
          <w:tcPr>
            <w:tcW w:w="1921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Наименование мероприятия (результата)</w:t>
            </w:r>
          </w:p>
        </w:tc>
        <w:tc>
          <w:tcPr>
            <w:tcW w:w="1201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Наименование струк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турных элементов муниципальных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 программ вместе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 с наименованием МП</w:t>
            </w:r>
          </w:p>
        </w:tc>
        <w:tc>
          <w:tcPr>
            <w:tcW w:w="784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Единица измерения (по </w:t>
            </w:r>
      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>
              <w:r>
                <w:rPr>
                  <w:rFonts w:ascii="Times New Roman" w:hAnsi="Times New Roman" w:cs="Times New Roman" w:eastAsiaTheme="minorEastAsia"/>
                  <w:color w:val="0000ff"/>
                  <w:sz w:val="20"/>
                  <w:szCs w:val="22"/>
                </w:rPr>
                <w:t xml:space="preserve">ОКЕИ</w:t>
              </w:r>
            </w:hyperlink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)</w:t>
            </w:r>
          </w:p>
        </w:tc>
        <w:tc>
          <w:tcPr>
            <w:tcW w:w="1418" w:type="dxa"/>
            <w:gridSpan w:val="2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Базовое значение</w:t>
            </w:r>
          </w:p>
        </w:tc>
        <w:tc>
          <w:tcPr>
            <w:tcW w:w="4191" w:type="dxa"/>
            <w:gridSpan w:val="6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Период, год</w:t>
            </w:r>
          </w:p>
        </w:tc>
        <w:tc>
          <w:tcPr>
            <w:tcW w:w="1054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Тип мероприятия (результата)</w:t>
            </w:r>
          </w:p>
        </w:tc>
        <w:tc>
          <w:tcPr>
            <w:tcW w:w="850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Уровень мероприятия (результата)</w:t>
            </w:r>
          </w:p>
        </w:tc>
        <w:tc>
          <w:tcPr>
            <w:tcW w:w="851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Признак "Участие муниципального образования"</w:t>
            </w:r>
          </w:p>
        </w:tc>
        <w:tc>
          <w:tcPr>
            <w:tcW w:w="1776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Св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язь с показателями муниципального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 (ведомственного) проекта</w:t>
            </w:r>
          </w:p>
        </w:tc>
      </w:tr>
      <w:tr>
        <w:tc>
          <w:tcPr>
            <w:tcW w:w="484" w:type="dxa"/>
            <w:vMerge w:val="continue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921" w:type="dxa"/>
            <w:vMerge w:val="continue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201" w:type="dxa"/>
            <w:vMerge w:val="continue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784" w:type="dxa"/>
            <w:vMerge w:val="continue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624" w:type="dxa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значение</w:t>
            </w:r>
          </w:p>
        </w:tc>
        <w:tc>
          <w:tcPr>
            <w:tcW w:w="79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год</w:t>
            </w:r>
          </w:p>
        </w:tc>
        <w:tc>
          <w:tcPr>
            <w:tcW w:w="64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2025</w:t>
            </w:r>
          </w:p>
        </w:tc>
        <w:tc>
          <w:tcPr>
            <w:tcW w:w="70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2026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2027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2028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2029</w:t>
            </w:r>
          </w:p>
        </w:tc>
        <w:tc>
          <w:tcPr>
            <w:tcW w:w="71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2030</w:t>
            </w:r>
          </w:p>
        </w:tc>
        <w:tc>
          <w:tcPr>
            <w:tcW w:w="1054" w:type="dxa"/>
            <w:vMerge w:val="continue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850" w:type="dxa"/>
            <w:vMerge w:val="continue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851" w:type="dxa"/>
            <w:vMerge w:val="continue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776" w:type="dxa"/>
            <w:vMerge w:val="continue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</w:tr>
      <w:tr>
        <w:tc>
          <w:tcPr>
            <w:tcW w:w="48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  <w:t xml:space="preserve">1</w:t>
            </w:r>
          </w:p>
        </w:tc>
        <w:tc>
          <w:tcPr>
            <w:tcW w:w="192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  <w:t xml:space="preserve">2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  <w:t xml:space="preserve">3</w:t>
            </w:r>
          </w:p>
        </w:tc>
        <w:tc>
          <w:tcPr>
            <w:tcW w:w="78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  <w:t xml:space="preserve">4</w:t>
            </w:r>
          </w:p>
        </w:tc>
        <w:tc>
          <w:tcPr>
            <w:tcW w:w="62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  <w:t xml:space="preserve">5</w:t>
            </w:r>
          </w:p>
        </w:tc>
        <w:tc>
          <w:tcPr>
            <w:tcW w:w="79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  <w:t xml:space="preserve">6</w:t>
            </w:r>
          </w:p>
        </w:tc>
        <w:tc>
          <w:tcPr>
            <w:tcW w:w="64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  <w:t xml:space="preserve">7</w:t>
            </w:r>
          </w:p>
        </w:tc>
        <w:tc>
          <w:tcPr>
            <w:tcW w:w="70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  <w:t xml:space="preserve">8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  <w:t xml:space="preserve">9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  <w:t xml:space="preserve">10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  <w:t xml:space="preserve">11</w:t>
            </w:r>
          </w:p>
        </w:tc>
        <w:tc>
          <w:tcPr>
            <w:tcW w:w="71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  <w:t xml:space="preserve">12</w:t>
            </w:r>
          </w:p>
        </w:tc>
        <w:tc>
          <w:tcPr>
            <w:tcW w:w="105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  <w:t xml:space="preserve">13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  <w:t xml:space="preserve">14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  <w:t xml:space="preserve">15</w:t>
            </w:r>
          </w:p>
        </w:tc>
        <w:tc>
          <w:tcPr>
            <w:tcW w:w="1776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  <w:t xml:space="preserve">16</w:t>
            </w:r>
          </w:p>
        </w:tc>
      </w:tr>
      <w:tr>
        <w:tc>
          <w:tcPr>
            <w:tcW w:w="48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  <w:t xml:space="preserve">1</w:t>
            </w:r>
          </w:p>
        </w:tc>
        <w:tc>
          <w:tcPr>
            <w:tcW w:w="14046" w:type="dxa"/>
            <w:gridSpan w:val="15"/>
          </w:tcPr>
          <w:p>
            <w:pPr>
              <w:spacing w:line="276" w:lineRule="auto"/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Задача </w:t>
            </w: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0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Обеспечена организация отдыха и оздоровления детей за пределами Белгородской области"</w:t>
            </w:r>
          </w:p>
        </w:tc>
      </w:tr>
      <w:tr>
        <w:tc>
          <w:tcPr>
            <w:tcW w:w="48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 xml:space="preserve">Мероприятия (результат) Организован отдых и оздоровления детей, проживающих на территории Белгородской области, в организациях отдыха детей и их оздоровления, расположенных на территории РФ за счет резервного фонда Правительства РФ</w:t>
            </w:r>
          </w:p>
        </w:tc>
        <w:tc>
          <w:tcPr>
            <w:tcW w:w="120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муниципальный </w:t>
            </w:r>
            <w:r>
              <w:rPr>
                <w:rFonts w:ascii="Times New Roman" w:hAnsi="Times New Roman" w:cs="Times New Roman"/>
              </w:rPr>
              <w:t xml:space="preserve">проект «Создание условий для обучения, отдыха и оздоровления детей и молодежи»</w:t>
            </w:r>
          </w:p>
        </w:tc>
        <w:tc>
          <w:tcPr>
            <w:tcW w:w="78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%</w:t>
            </w:r>
          </w:p>
        </w:tc>
        <w:tc>
          <w:tcPr>
            <w:tcW w:w="62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  <w:t xml:space="preserve">0</w:t>
            </w:r>
          </w:p>
        </w:tc>
        <w:tc>
          <w:tcPr>
            <w:tcW w:w="79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  <w:t xml:space="preserve">2024</w:t>
            </w:r>
          </w:p>
        </w:tc>
        <w:tc>
          <w:tcPr>
            <w:tcW w:w="64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  <w:t xml:space="preserve">100</w:t>
            </w:r>
          </w:p>
        </w:tc>
        <w:tc>
          <w:tcPr>
            <w:tcW w:w="70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  <w:t xml:space="preserve">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  <w:t xml:space="preserve">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  <w:t xml:space="preserve">0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  <w:t xml:space="preserve">0</w:t>
            </w:r>
          </w:p>
        </w:tc>
        <w:tc>
          <w:tcPr>
            <w:tcW w:w="71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  <w:t xml:space="preserve">0</w:t>
            </w:r>
          </w:p>
        </w:tc>
        <w:tc>
          <w:tcPr>
            <w:tcW w:w="105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Оказание услуг (выполнение работ)</w:t>
            </w:r>
          </w:p>
        </w:tc>
        <w:tc>
          <w:tcPr>
            <w:tcW w:w="850" w:type="dxa"/>
          </w:tcPr>
          <w:p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РП</w:t>
            </w:r>
          </w:p>
        </w:tc>
        <w:tc>
          <w:tcPr>
            <w:tcW w:w="851" w:type="dxa"/>
          </w:tcPr>
          <w:p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Нет</w:t>
            </w:r>
          </w:p>
        </w:tc>
        <w:tc>
          <w:tcPr>
            <w:tcW w:w="1776" w:type="dxa"/>
          </w:tcPr>
          <w:p>
            <w:pPr>
              <w:pStyle w:val="ConsPlusNormal"/>
              <w:rPr>
                <w:rFonts w:ascii="Times New Roman" w:hAnsi="Times New Roman" w:cs="Times New Roman"/>
                <w:color w:val="ff0000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Доля детей, охваченных организованным отдыхом и оздоровлением, в общем количестве детей, обучающихся в общеобразовательных ор</w:t>
            </w:r>
            <w:r>
              <w:rPr>
                <w:rFonts w:ascii="Times New Roman" w:hAnsi="Times New Roman" w:cs="Times New Roman"/>
                <w:szCs w:val="20"/>
              </w:rPr>
              <w:t xml:space="preserve">ганизациях</w:t>
            </w:r>
          </w:p>
        </w:tc>
      </w:tr>
      <w:tr>
        <w:tc>
          <w:tcPr>
            <w:tcW w:w="48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6"/>
                <w:szCs w:val="16"/>
              </w:rPr>
            </w:pPr>
          </w:p>
        </w:tc>
        <w:tc>
          <w:tcPr>
            <w:tcW w:w="14046" w:type="dxa"/>
            <w:gridSpan w:val="15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 xml:space="preserve">Организован отдых и оздоровления детей,</w:t>
            </w:r>
            <w:r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 xml:space="preserve">проживающих на территории Белгородской области, в организациях отдыха детей и их оздоровления, расположенных на территории РФ</w:t>
            </w:r>
          </w:p>
        </w:tc>
      </w:tr>
    </w:tbl>
    <w:p>
      <w:pPr>
        <w:pStyle w:val="ConsPlusNonformat"/>
        <w:ind w:left="720"/>
      </w:pPr>
    </w:p>
    <w:p>
      <w:pPr>
        <w:pStyle w:val="ConsPlusNonformat"/>
      </w:pPr>
    </w:p>
    <w:p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</w:t>
      </w:r>
      <w:r>
        <w:rPr>
          <w:rFonts w:ascii="Times New Roman" w:hAnsi="Times New Roman" w:cs="Times New Roman"/>
          <w:b/>
          <w:sz w:val="28"/>
          <w:szCs w:val="28"/>
        </w:rPr>
        <w:t xml:space="preserve">Финансовое обес</w:t>
      </w:r>
      <w:r>
        <w:rPr>
          <w:rFonts w:ascii="Times New Roman" w:hAnsi="Times New Roman" w:cs="Times New Roman"/>
          <w:b/>
          <w:sz w:val="28"/>
          <w:szCs w:val="28"/>
        </w:rPr>
        <w:t xml:space="preserve">печение реализации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>
      <w:pPr>
        <w:pStyle w:val="ConsPlusNonforma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54"/>
        <w:gridCol w:w="4928"/>
        <w:gridCol w:w="1961"/>
        <w:gridCol w:w="1016"/>
        <w:gridCol w:w="992"/>
        <w:gridCol w:w="992"/>
        <w:gridCol w:w="851"/>
        <w:gridCol w:w="992"/>
        <w:gridCol w:w="850"/>
        <w:gridCol w:w="1418"/>
      </w:tblGrid>
      <w:tr>
        <w:tc>
          <w:tcPr>
            <w:tcW w:w="454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N п/п</w:t>
            </w:r>
          </w:p>
        </w:tc>
        <w:tc>
          <w:tcPr>
            <w:tcW w:w="4928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Наименование мероприятия (результата)</w:t>
            </w:r>
          </w:p>
        </w:tc>
        <w:tc>
          <w:tcPr>
            <w:tcW w:w="1961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Код бюджетной классификации</w:t>
            </w:r>
          </w:p>
        </w:tc>
        <w:tc>
          <w:tcPr>
            <w:tcW w:w="7111" w:type="dxa"/>
            <w:gridSpan w:val="7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Объем финансового обеспечения по годам реализации, тыс. рублей</w:t>
            </w:r>
          </w:p>
        </w:tc>
      </w:tr>
      <w:tr>
        <w:tc>
          <w:tcPr>
            <w:tcW w:w="454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4928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961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2025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2026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2027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2028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2029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2030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Всего</w:t>
            </w:r>
          </w:p>
        </w:tc>
      </w:tr>
      <w:tr>
        <w:tc>
          <w:tcPr>
            <w:tcW w:w="45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  <w:t xml:space="preserve">1</w:t>
            </w:r>
          </w:p>
        </w:tc>
        <w:tc>
          <w:tcPr>
            <w:tcW w:w="492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  <w:t xml:space="preserve">2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  <w:t xml:space="preserve">3</w:t>
            </w:r>
          </w:p>
        </w:tc>
        <w:tc>
          <w:tcPr>
            <w:tcW w:w="1016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  <w:t xml:space="preserve">4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  <w:t xml:space="preserve">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  <w:t xml:space="preserve">6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  <w:t xml:space="preserve">7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  <w:t xml:space="preserve">8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  <w:t xml:space="preserve">9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18"/>
                <w:szCs w:val="18"/>
              </w:rPr>
              <w:t xml:space="preserve">10</w:t>
            </w:r>
          </w:p>
        </w:tc>
      </w:tr>
      <w:tr>
        <w:tc>
          <w:tcPr>
            <w:tcW w:w="454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1.</w:t>
            </w:r>
          </w:p>
        </w:tc>
        <w:tc>
          <w:tcPr>
            <w:tcW w:w="4928" w:type="dxa"/>
            <w:tcBorders>
              <w:bottom w:val="single" w:color="auto" w:sz="4" w:space="0"/>
            </w:tcBorders>
          </w:tcPr>
          <w:p>
            <w:pPr>
              <w:pStyle w:val="ConsPlusTitle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Муниципальный проект, </w:t>
            </w:r>
            <w:r>
              <w:rPr>
                <w:rFonts w:ascii="Times New Roman" w:hAnsi="Times New Roman" w:cs="Times New Roman"/>
                <w:sz w:val="22"/>
              </w:rPr>
              <w:t xml:space="preserve">не </w:t>
            </w:r>
            <w:r>
              <w:rPr>
                <w:rFonts w:ascii="Times New Roman" w:hAnsi="Times New Roman" w:cs="Times New Roman"/>
                <w:sz w:val="22"/>
              </w:rPr>
              <w:t xml:space="preserve">входящий в состав </w:t>
            </w:r>
          </w:p>
          <w:p>
            <w:pPr>
              <w:pStyle w:val="ConsPlusTitle"/>
              <w:outlineLvl w:val="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национального проекта «Создание условий для обучения, отдыха и оздоровления детей и молодежи» (всего), в том числе:</w:t>
            </w:r>
          </w:p>
        </w:tc>
        <w:tc>
          <w:tcPr>
            <w:tcW w:w="196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02 2 03 </w:t>
            </w:r>
          </w:p>
        </w:tc>
        <w:tc>
          <w:tcPr>
            <w:tcW w:w="1016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8 019,5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8 019,5</w:t>
            </w:r>
          </w:p>
        </w:tc>
      </w:tr>
      <w:tr>
        <w:tc>
          <w:tcPr>
            <w:tcW w:w="454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4928" w:type="dxa"/>
            <w:tcBorders>
              <w:bottom w:val="single" w:color="auto" w:sz="4" w:space="0"/>
            </w:tcBorders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(всего), из них:</w:t>
            </w:r>
          </w:p>
        </w:tc>
        <w:tc>
          <w:tcPr>
            <w:tcW w:w="1961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8 019,5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8 019,5</w:t>
            </w:r>
          </w:p>
        </w:tc>
      </w:tr>
      <w:tr>
        <w:tc>
          <w:tcPr>
            <w:tcW w:w="454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4928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>
            <w:pPr>
              <w:pStyle w:val="formattext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</w:t>
            </w:r>
            <w:r>
              <w:rPr>
                <w:color w:val="000000" w:themeColor="text1"/>
                <w:sz w:val="20"/>
                <w:szCs w:val="20"/>
              </w:rPr>
              <w:t xml:space="preserve">справочно</w:t>
            </w:r>
            <w:r>
              <w:rPr>
                <w:color w:val="000000" w:themeColor="text1"/>
                <w:sz w:val="20"/>
                <w:szCs w:val="20"/>
              </w:rPr>
              <w:t xml:space="preserve">)</w:t>
            </w:r>
          </w:p>
        </w:tc>
        <w:tc>
          <w:tcPr>
            <w:tcW w:w="1961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7 939,3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7 939,3</w:t>
            </w:r>
          </w:p>
        </w:tc>
      </w:tr>
      <w:tr>
        <w:tc>
          <w:tcPr>
            <w:tcW w:w="454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4928" w:type="dxa"/>
            <w:tcBorders>
              <w:top w:val="single" w:color="000000" w:sz="6" w:space="0"/>
              <w:bottom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справочно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)</w:t>
            </w:r>
          </w:p>
        </w:tc>
        <w:tc>
          <w:tcPr>
            <w:tcW w:w="1961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80,2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80,2</w:t>
            </w:r>
          </w:p>
        </w:tc>
      </w:tr>
      <w:tr>
        <w:tc>
          <w:tcPr>
            <w:tcW w:w="454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49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961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</w:tr>
      <w:tr>
        <w:tc>
          <w:tcPr>
            <w:tcW w:w="454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49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Внебюджетные источники</w:t>
            </w:r>
          </w:p>
        </w:tc>
        <w:tc>
          <w:tcPr>
            <w:tcW w:w="1961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</w:tr>
      <w:tr>
        <w:trPr>
          <w:trHeight w:val="1470"/>
        </w:trPr>
        <w:tc>
          <w:tcPr>
            <w:tcW w:w="454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1.1</w:t>
            </w:r>
          </w:p>
        </w:tc>
        <w:tc>
          <w:tcPr>
            <w:tcW w:w="4928" w:type="dxa"/>
          </w:tcPr>
          <w:p>
            <w:pP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Мероприятия (результат) Организован отдых и оздоровления детей, проживающих на территории Белгородской области, в организациях отдыха детей и их оздоровления, расположенных на территории РФ за счет резервного фонда Правительства РФ, (всего), в том числе:</w:t>
            </w:r>
          </w:p>
        </w:tc>
        <w:tc>
          <w:tcPr>
            <w:tcW w:w="1961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8 019,5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8 019,5</w:t>
            </w:r>
          </w:p>
        </w:tc>
      </w:tr>
      <w:tr>
        <w:tc>
          <w:tcPr>
            <w:tcW w:w="454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4928" w:type="dxa"/>
            <w:tcBorders>
              <w:bottom w:val="single" w:color="auto" w:sz="4" w:space="0"/>
            </w:tcBorders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(всего), из них:</w:t>
            </w:r>
          </w:p>
        </w:tc>
        <w:tc>
          <w:tcPr>
            <w:tcW w:w="1961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8 019,5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8 019,5</w:t>
            </w:r>
          </w:p>
        </w:tc>
      </w:tr>
      <w:tr>
        <w:tc>
          <w:tcPr>
            <w:tcW w:w="454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4928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>
            <w:pPr>
              <w:pStyle w:val="formattext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межбюджетные трансферты из федерального бюджета (</w:t>
            </w:r>
            <w:r>
              <w:rPr>
                <w:color w:val="000000" w:themeColor="text1"/>
                <w:sz w:val="20"/>
                <w:szCs w:val="20"/>
              </w:rPr>
              <w:t xml:space="preserve">справочно</w:t>
            </w:r>
            <w:r>
              <w:rPr>
                <w:color w:val="000000" w:themeColor="text1"/>
                <w:sz w:val="20"/>
                <w:szCs w:val="20"/>
              </w:rPr>
              <w:t xml:space="preserve">)</w:t>
            </w:r>
          </w:p>
        </w:tc>
        <w:tc>
          <w:tcPr>
            <w:tcW w:w="1961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7 939,3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7 939,3</w:t>
            </w:r>
          </w:p>
        </w:tc>
      </w:tr>
      <w:tr>
        <w:tc>
          <w:tcPr>
            <w:tcW w:w="454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4928" w:type="dxa"/>
            <w:tcBorders>
              <w:top w:val="single" w:color="000000" w:sz="6" w:space="0"/>
              <w:bottom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справочно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)</w:t>
            </w:r>
          </w:p>
        </w:tc>
        <w:tc>
          <w:tcPr>
            <w:tcW w:w="1961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80,2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80,2</w:t>
            </w:r>
          </w:p>
        </w:tc>
      </w:tr>
      <w:tr>
        <w:tc>
          <w:tcPr>
            <w:tcW w:w="454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49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961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</w:tr>
      <w:tr>
        <w:tc>
          <w:tcPr>
            <w:tcW w:w="454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49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Внебюджетные источники</w:t>
            </w:r>
          </w:p>
        </w:tc>
        <w:tc>
          <w:tcPr>
            <w:tcW w:w="1961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-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</w:tr>
      <w:tr>
        <w:tc>
          <w:tcPr>
            <w:tcW w:w="454" w:type="dxa"/>
            <w:tcBorders>
              <w:bottom w:val="single" w:color="auto" w:sz="4" w:space="0"/>
            </w:tcBorders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2.</w:t>
            </w:r>
          </w:p>
        </w:tc>
        <w:tc>
          <w:tcPr>
            <w:tcW w:w="492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Нераспределенный резерв  (местный бюджет)</w:t>
            </w:r>
          </w:p>
        </w:tc>
        <w:tc>
          <w:tcPr>
            <w:tcW w:w="1961" w:type="dxa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</w:tr>
    </w:tbl>
    <w:p>
      <w:pPr>
        <w:pStyle w:val="ConsPlusTitle"/>
        <w:ind w:left="720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pStyle w:val="ConsPlusTitle"/>
        <w:ind w:left="720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pStyle w:val="ConsPlusTitle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pStyle w:val="ConsPlusTitle"/>
        <w:ind w:left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Помесячный план исполнения местного бюджета в части бюджетных ассигнований, предусмотренных на финансовое обеспечение реализации муниципального проекта в 2025 году</w:t>
      </w:r>
    </w:p>
    <w:p>
      <w:pPr>
        <w:pStyle w:val="ConsPlusTitle"/>
        <w:ind w:left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43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4815"/>
        <w:gridCol w:w="567"/>
        <w:gridCol w:w="567"/>
        <w:gridCol w:w="567"/>
        <w:gridCol w:w="567"/>
        <w:gridCol w:w="567"/>
        <w:gridCol w:w="708"/>
        <w:gridCol w:w="567"/>
        <w:gridCol w:w="567"/>
        <w:gridCol w:w="709"/>
        <w:gridCol w:w="586"/>
        <w:gridCol w:w="708"/>
        <w:gridCol w:w="2108"/>
      </w:tblGrid>
      <w:tr>
        <w:trPr>
          <w:jc w:val="center"/>
          <w:trHeight w:val="575" w:hRule="exact"/>
        </w:trPr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auto"/>
                <w:sz w:val="22"/>
                <w:szCs w:val="22"/>
              </w:rPr>
              <w:br w:type="page" w:clear="all"/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№ п/п</w:t>
            </w:r>
          </w:p>
        </w:tc>
        <w:tc>
          <w:tcPr>
            <w:tcW w:w="481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Наименование мероприятия (результата)</w:t>
            </w:r>
          </w:p>
        </w:tc>
        <w:tc>
          <w:tcPr>
            <w:tcW w:w="6680" w:type="dxa"/>
            <w:gridSpan w:val="11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План исполнения нарастающим итогом (тыс. рублей)</w:t>
            </w:r>
          </w:p>
        </w:tc>
        <w:tc>
          <w:tcPr>
            <w:tcW w:w="2108" w:type="dxa"/>
            <w:vMerge w:val="restart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Всего на конец 2025 года (тыс. рублей)</w:t>
            </w:r>
          </w:p>
        </w:tc>
      </w:tr>
      <w:tr>
        <w:trPr>
          <w:cantSplit/>
          <w:jc w:val="center"/>
          <w:trHeight w:val="1134" w:hRule="exact"/>
        </w:trPr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rPr>
                <w:rFonts w:ascii="Times New Roman" w:hAnsi="Times New Roman" w:eastAsia="Courier New" w:cs="Times New Roman"/>
                <w:color w:val="auto"/>
                <w:sz w:val="22"/>
                <w:szCs w:val="22"/>
              </w:rPr>
            </w:pPr>
          </w:p>
        </w:tc>
        <w:tc>
          <w:tcPr>
            <w:tcW w:w="4815" w:type="dxa"/>
            <w:vMerge w:val="continue"/>
            <w:shd w:val="clear" w:color="auto" w:fill="auto"/>
            <w:vAlign w:val="center"/>
          </w:tcPr>
          <w:p>
            <w:pPr>
              <w:rPr>
                <w:rFonts w:ascii="Times New Roman" w:hAnsi="Times New Roman" w:eastAsia="Courier New"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>
            <w:pPr>
              <w:ind w:firstLine="14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    янв.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фев.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март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апр.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май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июнь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июль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авг.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сен.</w:t>
            </w:r>
          </w:p>
        </w:tc>
        <w:tc>
          <w:tcPr>
            <w:tcW w:w="586" w:type="dxa"/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окт.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ноя.</w:t>
            </w:r>
          </w:p>
        </w:tc>
        <w:tc>
          <w:tcPr>
            <w:tcW w:w="2108" w:type="dxa"/>
            <w:vMerge w:val="continue"/>
            <w:shd w:val="clear" w:color="auto" w:fill="auto"/>
          </w:tcPr>
          <w:p>
            <w:pPr>
              <w:rPr>
                <w:rFonts w:ascii="Times New Roman" w:hAnsi="Times New Roman" w:eastAsia="Courier New" w:cs="Times New Roman"/>
                <w:color w:val="auto"/>
                <w:sz w:val="22"/>
                <w:szCs w:val="22"/>
              </w:rPr>
            </w:pPr>
          </w:p>
        </w:tc>
      </w:tr>
      <w:tr>
        <w:trPr>
          <w:jc w:val="center"/>
          <w:trHeight w:val="240" w:hRule="exact"/>
        </w:trPr>
        <w:tc>
          <w:tcPr>
            <w:tcW w:w="709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1</w:t>
            </w:r>
          </w:p>
        </w:tc>
        <w:tc>
          <w:tcPr>
            <w:tcW w:w="4815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2</w:t>
            </w:r>
          </w:p>
        </w:tc>
        <w:tc>
          <w:tcPr>
            <w:tcW w:w="567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3</w:t>
            </w:r>
          </w:p>
        </w:tc>
        <w:tc>
          <w:tcPr>
            <w:tcW w:w="567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4</w:t>
            </w:r>
          </w:p>
        </w:tc>
        <w:tc>
          <w:tcPr>
            <w:tcW w:w="567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5</w:t>
            </w:r>
          </w:p>
        </w:tc>
        <w:tc>
          <w:tcPr>
            <w:tcW w:w="567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6</w:t>
            </w:r>
          </w:p>
        </w:tc>
        <w:tc>
          <w:tcPr>
            <w:tcW w:w="567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7</w:t>
            </w:r>
          </w:p>
        </w:tc>
        <w:tc>
          <w:tcPr>
            <w:tcW w:w="708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8</w:t>
            </w:r>
          </w:p>
        </w:tc>
        <w:tc>
          <w:tcPr>
            <w:tcW w:w="567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9</w:t>
            </w:r>
          </w:p>
        </w:tc>
        <w:tc>
          <w:tcPr>
            <w:tcW w:w="567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10</w:t>
            </w:r>
          </w:p>
        </w:tc>
        <w:tc>
          <w:tcPr>
            <w:tcW w:w="709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11</w:t>
            </w:r>
          </w:p>
        </w:tc>
        <w:tc>
          <w:tcPr>
            <w:tcW w:w="586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12</w:t>
            </w:r>
          </w:p>
        </w:tc>
        <w:tc>
          <w:tcPr>
            <w:tcW w:w="708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13</w:t>
            </w:r>
          </w:p>
        </w:tc>
        <w:tc>
          <w:tcPr>
            <w:tcW w:w="2108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14</w:t>
            </w:r>
          </w:p>
        </w:tc>
      </w:tr>
      <w:tr>
        <w:trPr>
          <w:jc w:val="center"/>
          <w:trHeight w:val="383" w:hRule="exact"/>
        </w:trPr>
        <w:tc>
          <w:tcPr>
            <w:tcW w:w="14312" w:type="dxa"/>
            <w:gridSpan w:val="14"/>
            <w:shd w:val="clear" w:color="auto" w:fill="auto"/>
          </w:tcPr>
          <w:p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Задача </w:t>
            </w: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0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Обеспечена организация отдыха и оздоровления детей за пределами Белгородской области"</w:t>
            </w:r>
          </w:p>
        </w:tc>
      </w:tr>
      <w:tr>
        <w:trPr>
          <w:jc w:val="center"/>
          <w:trHeight w:val="1227" w:hRule="exac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1.1</w:t>
            </w:r>
          </w:p>
        </w:tc>
        <w:tc>
          <w:tcPr>
            <w:tcW w:w="4815" w:type="dxa"/>
            <w:shd w:val="clear" w:color="auto" w:fill="auto"/>
          </w:tcPr>
          <w:p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Организован отдых и оздоровления детей, проживающих на территории Белгородской области, в организациях отдыха детей и их оздоровления, расположенных на территории </w:t>
            </w:r>
          </w:p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РФ за счет резервного фонда Правительства РФ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210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8 019,5</w:t>
            </w:r>
          </w:p>
        </w:tc>
      </w:tr>
      <w:tr>
        <w:trPr>
          <w:jc w:val="center"/>
          <w:trHeight w:val="706" w:hRule="exact"/>
        </w:trPr>
        <w:tc>
          <w:tcPr>
            <w:tcW w:w="5524" w:type="dxa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Итого 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-</w:t>
            </w:r>
          </w:p>
        </w:tc>
        <w:tc>
          <w:tcPr>
            <w:tcW w:w="210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8 019,5</w:t>
            </w:r>
          </w:p>
        </w:tc>
      </w:tr>
    </w:tbl>
    <w:p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ind w:left="720"/>
        <w:outlineLvl w:val="2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ind w:left="720"/>
        <w:outlineLvl w:val="2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outlineLvl w:val="2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outlineLvl w:val="2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jc w:val="center"/>
        <w:outlineLvl w:val="2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Приложение</w:t>
      </w:r>
    </w:p>
    <w:p>
      <w:pPr>
        <w:pStyle w:val="ConsPlusNormal"/>
        <w:jc w:val="right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к паспорту муниципального</w:t>
      </w:r>
      <w:r>
        <w:rPr>
          <w:rFonts w:ascii="Times New Roman" w:hAnsi="Times New Roman" w:cs="Times New Roman"/>
          <w:b/>
          <w:sz w:val="27"/>
          <w:szCs w:val="27"/>
        </w:rPr>
        <w:t xml:space="preserve"> проекта</w:t>
      </w:r>
    </w:p>
    <w:p>
      <w:pPr>
        <w:pStyle w:val="ConsPlusNormal"/>
        <w:jc w:val="right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«</w:t>
      </w:r>
      <w:r>
        <w:rPr>
          <w:rFonts w:ascii="Times New Roman" w:hAnsi="Times New Roman" w:cs="Times New Roman"/>
          <w:b/>
          <w:sz w:val="27"/>
          <w:szCs w:val="27"/>
        </w:rPr>
        <w:t xml:space="preserve">Создание условий для обучения, </w:t>
      </w:r>
    </w:p>
    <w:p>
      <w:pPr>
        <w:pStyle w:val="ConsPlusNormal"/>
        <w:jc w:val="right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отдыха и оздоровления детей и молодежи</w:t>
      </w:r>
      <w:r>
        <w:rPr>
          <w:rFonts w:ascii="Times New Roman" w:hAnsi="Times New Roman" w:cs="Times New Roman"/>
          <w:b/>
          <w:sz w:val="27"/>
          <w:szCs w:val="27"/>
        </w:rPr>
        <w:t xml:space="preserve">»</w:t>
      </w:r>
      <w:r>
        <w:rPr>
          <w:rFonts w:ascii="Times New Roman" w:hAnsi="Times New Roman" w:cs="Times New Roman"/>
          <w:b/>
          <w:sz w:val="27"/>
          <w:szCs w:val="27"/>
        </w:rPr>
        <w:t xml:space="preserve">,</w:t>
      </w:r>
    </w:p>
    <w:p>
      <w:pPr>
        <w:pStyle w:val="ConsPlusNormal"/>
        <w:jc w:val="right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не </w:t>
      </w:r>
      <w:r>
        <w:rPr>
          <w:rFonts w:ascii="Times New Roman" w:hAnsi="Times New Roman" w:cs="Times New Roman"/>
          <w:b/>
          <w:sz w:val="27"/>
          <w:szCs w:val="27"/>
        </w:rPr>
        <w:t xml:space="preserve">входящий</w:t>
      </w:r>
      <w:r>
        <w:rPr>
          <w:rFonts w:ascii="Times New Roman" w:hAnsi="Times New Roman" w:cs="Times New Roman"/>
          <w:b/>
          <w:sz w:val="27"/>
          <w:szCs w:val="27"/>
        </w:rPr>
        <w:t xml:space="preserve"> в национальный проект</w:t>
      </w:r>
    </w:p>
    <w:p>
      <w:pPr>
        <w:pStyle w:val="ConsPlusNormal"/>
        <w:jc w:val="right"/>
        <w:rPr>
          <w:rFonts w:ascii="Times New Roman" w:hAnsi="Times New Roman" w:cs="Times New Roman"/>
        </w:rPr>
      </w:pPr>
    </w:p>
    <w:p>
      <w:pPr>
        <w:pStyle w:val="ConsPlusCell"/>
        <w:ind w:left="36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План реализации муниципального</w:t>
      </w:r>
      <w:r>
        <w:rPr>
          <w:rFonts w:ascii="Times New Roman" w:hAnsi="Times New Roman" w:cs="Times New Roman"/>
          <w:b/>
          <w:sz w:val="27"/>
          <w:szCs w:val="27"/>
        </w:rPr>
        <w:t xml:space="preserve"> проекта</w:t>
      </w:r>
      <w:r>
        <w:rPr>
          <w:rFonts w:ascii="Times New Roman" w:hAnsi="Times New Roman" w:cs="Times New Roman"/>
          <w:b/>
          <w:sz w:val="27"/>
          <w:szCs w:val="27"/>
        </w:rPr>
        <w:t xml:space="preserve"> 3</w:t>
      </w:r>
    </w:p>
    <w:p>
      <w:pPr>
        <w:pStyle w:val="ConsPlusCell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2"/>
        <w:gridCol w:w="2194"/>
        <w:gridCol w:w="1264"/>
        <w:gridCol w:w="1264"/>
        <w:gridCol w:w="1015"/>
        <w:gridCol w:w="993"/>
        <w:gridCol w:w="1417"/>
        <w:gridCol w:w="709"/>
        <w:gridCol w:w="992"/>
        <w:gridCol w:w="851"/>
        <w:gridCol w:w="1444"/>
        <w:gridCol w:w="1749"/>
      </w:tblGrid>
      <w:tr>
        <w:tc>
          <w:tcPr>
            <w:tcW w:w="562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N п/п</w:t>
            </w:r>
          </w:p>
        </w:tc>
        <w:tc>
          <w:tcPr>
            <w:tcW w:w="2194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Наименование мероприятия (результата), контрольной точки, объекта результата</w:t>
            </w:r>
          </w:p>
        </w:tc>
        <w:tc>
          <w:tcPr>
            <w:tcW w:w="2528" w:type="dxa"/>
            <w:gridSpan w:val="2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Срок реализации</w:t>
            </w:r>
          </w:p>
        </w:tc>
        <w:tc>
          <w:tcPr>
            <w:tcW w:w="2008" w:type="dxa"/>
            <w:gridSpan w:val="2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Взаимосвязь</w:t>
            </w:r>
          </w:p>
        </w:tc>
        <w:tc>
          <w:tcPr>
            <w:tcW w:w="1417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Ответственный исполнитель</w:t>
            </w:r>
          </w:p>
        </w:tc>
        <w:tc>
          <w:tcPr>
            <w:tcW w:w="709" w:type="dxa"/>
            <w:vMerge w:val="restart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Адрес объекта (в соответствии с ФИАС)</w:t>
            </w:r>
          </w:p>
        </w:tc>
        <w:tc>
          <w:tcPr>
            <w:tcW w:w="1843" w:type="dxa"/>
            <w:gridSpan w:val="2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Мощность объекта</w:t>
            </w:r>
          </w:p>
        </w:tc>
        <w:tc>
          <w:tcPr>
            <w:tcW w:w="144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Объем финансового обеспечения (тыс. руб.)</w:t>
            </w:r>
          </w:p>
        </w:tc>
        <w:tc>
          <w:tcPr>
            <w:tcW w:w="174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Вид подтверждающего документа и характеристика мероприятия (результата)</w:t>
            </w:r>
          </w:p>
        </w:tc>
      </w:tr>
      <w:tr>
        <w:tc>
          <w:tcPr>
            <w:tcW w:w="562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2194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26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начало</w:t>
            </w:r>
          </w:p>
        </w:tc>
        <w:tc>
          <w:tcPr>
            <w:tcW w:w="126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окончание</w:t>
            </w:r>
          </w:p>
        </w:tc>
        <w:tc>
          <w:tcPr>
            <w:tcW w:w="1015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предшественники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последователи</w:t>
            </w:r>
          </w:p>
        </w:tc>
        <w:tc>
          <w:tcPr>
            <w:tcW w:w="1417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709" w:type="dxa"/>
            <w:vMerge w:val="continue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Единица измерения (по </w:t>
            </w:r>
            <w:hyperlink r:id="rId15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>
              <w:r>
                <w:rPr>
                  <w:rFonts w:ascii="Times New Roman" w:hAnsi="Times New Roman" w:cs="Times New Roman" w:eastAsiaTheme="minorEastAsia"/>
                  <w:color w:val="0000ff"/>
                  <w:sz w:val="20"/>
                  <w:szCs w:val="22"/>
                </w:rPr>
                <w:t xml:space="preserve">ОКЕИ</w:t>
              </w:r>
            </w:hyperlink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)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Значение</w:t>
            </w:r>
          </w:p>
        </w:tc>
        <w:tc>
          <w:tcPr>
            <w:tcW w:w="1444" w:type="dxa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1749" w:type="dxa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</w:tr>
      <w:tr>
        <w:trPr>
          <w:trHeight w:val="139"/>
        </w:trPr>
        <w:tc>
          <w:tcPr>
            <w:tcW w:w="56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</w:t>
            </w:r>
          </w:p>
        </w:tc>
        <w:tc>
          <w:tcPr>
            <w:tcW w:w="219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</w:t>
            </w:r>
          </w:p>
        </w:tc>
        <w:tc>
          <w:tcPr>
            <w:tcW w:w="126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3</w:t>
            </w:r>
          </w:p>
        </w:tc>
        <w:tc>
          <w:tcPr>
            <w:tcW w:w="126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4</w:t>
            </w:r>
          </w:p>
        </w:tc>
        <w:tc>
          <w:tcPr>
            <w:tcW w:w="1015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5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6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7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8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9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10</w:t>
            </w:r>
          </w:p>
        </w:tc>
        <w:tc>
          <w:tcPr>
            <w:tcW w:w="144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12</w:t>
            </w:r>
          </w:p>
        </w:tc>
        <w:tc>
          <w:tcPr>
            <w:tcW w:w="174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13</w:t>
            </w:r>
          </w:p>
        </w:tc>
      </w:tr>
      <w:tr>
        <w:tc>
          <w:tcPr>
            <w:tcW w:w="56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1.</w:t>
            </w:r>
          </w:p>
        </w:tc>
        <w:tc>
          <w:tcPr>
            <w:tcW w:w="13892" w:type="dxa"/>
            <w:gridSpan w:val="11"/>
          </w:tcPr>
          <w:p>
            <w:pP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Задача </w:t>
            </w: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0"/>
              </w:rPr>
              <w:t xml:space="preserve">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Обеспечена организация отдыха и оздоровления детей за пределами Белгородской области"</w:t>
            </w:r>
          </w:p>
        </w:tc>
      </w:tr>
      <w:tr>
        <w:tc>
          <w:tcPr>
            <w:tcW w:w="56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2194" w:type="dxa"/>
          </w:tcPr>
          <w:p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 w:eastAsiaTheme="minorEastAsia"/>
                <w:b/>
                <w:color w:val="auto"/>
                <w:sz w:val="20"/>
                <w:szCs w:val="22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Организация отдыха и оздоровления детей, проживающих на территории Белгородской области, в организациях отдыха детей и их оздоровления, расположенных на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территории </w:t>
            </w:r>
          </w:p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РФ за счет резервного фонда Правительства РФ</w:t>
            </w:r>
          </w:p>
        </w:tc>
        <w:tc>
          <w:tcPr>
            <w:tcW w:w="126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126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1015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174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</w:tr>
      <w:tr>
        <w:tc>
          <w:tcPr>
            <w:tcW w:w="56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2194" w:type="dxa"/>
          </w:tcPr>
          <w:p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рганизован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отдых и оздоровления детей, проживающих на территории Белгородской области, в организациях отдыха детей и их оздоровления, расположенных на территории </w:t>
            </w:r>
          </w:p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РФ за счет резервного фонда Правительства РФ</w:t>
            </w:r>
          </w:p>
        </w:tc>
        <w:tc>
          <w:tcPr>
            <w:tcW w:w="126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01.07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.2025</w:t>
            </w:r>
          </w:p>
        </w:tc>
        <w:tc>
          <w:tcPr>
            <w:tcW w:w="126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30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09.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2025</w:t>
            </w:r>
          </w:p>
        </w:tc>
        <w:tc>
          <w:tcPr>
            <w:tcW w:w="1015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Взаимосвязь с иными результатами и контрольными точками отсутствует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Взаимосвязь с иными результатами и контрольными точками отсутствует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Гуляева О.А. зам. Начальника 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МКУ «Управление образования»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, 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8 019,5</w:t>
            </w:r>
          </w:p>
        </w:tc>
        <w:tc>
          <w:tcPr>
            <w:tcW w:w="174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</w:tr>
      <w:tr>
        <w:tc>
          <w:tcPr>
            <w:tcW w:w="56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2194" w:type="dxa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Заключено соглаш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ение с Министерством Образования Белгородской области</w:t>
            </w:r>
          </w:p>
        </w:tc>
        <w:tc>
          <w:tcPr>
            <w:tcW w:w="126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01.07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.2025</w:t>
            </w:r>
          </w:p>
        </w:tc>
        <w:tc>
          <w:tcPr>
            <w:tcW w:w="126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30.09.2025</w:t>
            </w:r>
          </w:p>
        </w:tc>
        <w:tc>
          <w:tcPr>
            <w:tcW w:w="1015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Взаимосвязь с иными результатами и контрольными точками отсутствует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Взаимосвязь с иными результатами и контрольными точками отсутствует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Гарагуля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  С.Н. гл. экономист 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МКУ «Управление образования»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174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Соглашение</w:t>
            </w:r>
          </w:p>
        </w:tc>
      </w:tr>
      <w:tr>
        <w:tc>
          <w:tcPr>
            <w:tcW w:w="56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2194" w:type="dxa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 и согласован перечень детей, направленных на отдых и оздоровление</w:t>
            </w:r>
          </w:p>
        </w:tc>
        <w:tc>
          <w:tcPr>
            <w:tcW w:w="126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01.07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.2025</w:t>
            </w:r>
          </w:p>
        </w:tc>
        <w:tc>
          <w:tcPr>
            <w:tcW w:w="126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30.09.2025</w:t>
            </w:r>
          </w:p>
        </w:tc>
        <w:tc>
          <w:tcPr>
            <w:tcW w:w="1015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Взаимосвязь с иными результатами и контрольными точками 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отсутствует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Взаимосвязь с иными результатами и контрольными точками 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отсутствует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Гуляева О.А. зам. Начальника МКУ «Управление образования», 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174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отчет</w:t>
            </w:r>
          </w:p>
        </w:tc>
      </w:tr>
      <w:tr>
        <w:tc>
          <w:tcPr>
            <w:tcW w:w="56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</w:p>
        </w:tc>
        <w:tc>
          <w:tcPr>
            <w:tcW w:w="2194" w:type="dxa"/>
          </w:tcPr>
          <w:p>
            <w:pP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Осуществлено финансирование на организацию отдыха и оздоровления детей</w:t>
            </w:r>
          </w:p>
        </w:tc>
        <w:tc>
          <w:tcPr>
            <w:tcW w:w="126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01.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07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.2025</w:t>
            </w:r>
          </w:p>
        </w:tc>
        <w:tc>
          <w:tcPr>
            <w:tcW w:w="126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30.09.2025</w:t>
            </w:r>
          </w:p>
        </w:tc>
        <w:tc>
          <w:tcPr>
            <w:tcW w:w="1015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Взаимосвязь с иными результатами и контрольными точками отсутствует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Взаимосвязь с иными результатами и контрольными точками отсутствует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Гарагуля</w:t>
            </w: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  С.Н. гл. экономист МКУ «Управление образования»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1444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Х</w:t>
            </w:r>
          </w:p>
        </w:tc>
        <w:tc>
          <w:tcPr>
            <w:tcW w:w="1749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2"/>
              </w:rPr>
              <w:t xml:space="preserve">отчет</w:t>
            </w:r>
          </w:p>
        </w:tc>
      </w:tr>
    </w:tbl>
    <w:p>
      <w:pPr>
        <w:shd w:val="clear" w:color="auto" w:fill="ffffff"/>
        <w:rPr>
          <w:rFonts w:ascii="Times New Roman" w:hAnsi="Times New Roman"/>
          <w:b/>
          <w:bCs/>
          <w:sz w:val="27"/>
          <w:szCs w:val="27"/>
        </w:rPr>
        <w:sectPr>
          <w:pgSz w:w="16838" w:h="11906" w:orient="landscape"/>
          <w:pgMar w:top="851" w:right="1103" w:bottom="1134" w:left="820" w:header="708" w:footer="300" w:gutter="0"/>
          <w:cols w:space="708"/>
          <w:docGrid w:linePitch="360"/>
        </w:sectPr>
      </w:pPr>
    </w:p>
    <w:p>
      <w:pPr>
        <w:widowControl/>
        <w:shd w:val="clear" w:color="auto" w:fill="ffffff"/>
        <w:spacing w:after="240"/>
        <w:outlineLvl w:val="2"/>
        <w:rPr>
          <w:rFonts w:ascii="Times New Roman" w:hAnsi="Times New Roman" w:cs="Times New Roman"/>
          <w:b/>
          <w:bCs/>
          <w:color w:val="444444"/>
        </w:rPr>
      </w:pPr>
    </w:p>
    <w:sectPr>
      <w:pgSz w:w="16838" w:h="11906" w:orient="landscape"/>
      <w:pgMar w:top="851" w:right="1103" w:bottom="1134" w:left="820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ahoma">
    <w:panose1 w:val="020B0604030504040204"/>
  </w:font>
  <w:font w:name="Arial">
    <w:panose1 w:val="020B0604020202020204"/>
  </w:font>
  <w:font w:name="Arial Narrow">
    <w:panose1 w:val="020B0604020202020204"/>
  </w:font>
  <w:font w:name="Times New Roman">
    <w:panose1 w:val="02020603050405020304"/>
  </w:font>
  <w:font w:name="Courier New">
    <w:panose1 w:val="020703090202050204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:id w:val="1238208757"/>
      <w:docPartObj>
        <w:docPartGallery w:val="Page Numbers (Top of Page)"/>
        <w:docPartUnique w:val="true"/>
      </w:docPartObj>
    </w:sdtPr>
    <w:sdtContent>
      <w:p>
        <w:pPr>
          <w:pStyle w:val="a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</w:t>
        </w:r>
        <w:r>
          <w:fldChar w:fldCharType="end"/>
        </w:r>
      </w:p>
    </w:sdtContent>
  </w:sdt>
  <w:p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multiLevelType w:val="hybridMultilevel"/>
    <w:lvl w:ilvl="0" w:tplc="B13CDB76">
      <w:start w:val="1"/>
      <w:numFmt w:val="decimal"/>
      <w:lvlText w:val="%1."/>
      <w:lvlJc w:val="left"/>
      <w:pPr>
        <w:ind w:left="298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3709" w:hanging="360"/>
      </w:pPr>
    </w:lvl>
    <w:lvl w:ilvl="2" w:tentative="1" w:tplc="0419001B">
      <w:start w:val="1"/>
      <w:numFmt w:val="lowerRoman"/>
      <w:lvlText w:val="%3."/>
      <w:lvlJc w:val="right"/>
      <w:pPr>
        <w:ind w:left="4429" w:hanging="180"/>
      </w:pPr>
    </w:lvl>
    <w:lvl w:ilvl="3" w:tentative="1" w:tplc="0419000F">
      <w:start w:val="1"/>
      <w:numFmt w:val="decimal"/>
      <w:lvlText w:val="%4."/>
      <w:lvlJc w:val="left"/>
      <w:pPr>
        <w:ind w:left="5149" w:hanging="360"/>
      </w:pPr>
    </w:lvl>
    <w:lvl w:ilvl="4" w:tentative="1" w:tplc="04190019">
      <w:start w:val="1"/>
      <w:numFmt w:val="lowerLetter"/>
      <w:lvlText w:val="%5."/>
      <w:lvlJc w:val="left"/>
      <w:pPr>
        <w:ind w:left="5869" w:hanging="360"/>
      </w:pPr>
    </w:lvl>
    <w:lvl w:ilvl="5" w:tentative="1" w:tplc="0419001B">
      <w:start w:val="1"/>
      <w:numFmt w:val="lowerRoman"/>
      <w:lvlText w:val="%6."/>
      <w:lvlJc w:val="right"/>
      <w:pPr>
        <w:ind w:left="6589" w:hanging="180"/>
      </w:pPr>
    </w:lvl>
    <w:lvl w:ilvl="6" w:tentative="1" w:tplc="0419000F">
      <w:start w:val="1"/>
      <w:numFmt w:val="decimal"/>
      <w:lvlText w:val="%7."/>
      <w:lvlJc w:val="left"/>
      <w:pPr>
        <w:ind w:left="7309" w:hanging="360"/>
      </w:pPr>
    </w:lvl>
    <w:lvl w:ilvl="7" w:tentative="1" w:tplc="04190019">
      <w:start w:val="1"/>
      <w:numFmt w:val="lowerLetter"/>
      <w:lvlText w:val="%8."/>
      <w:lvlJc w:val="left"/>
      <w:pPr>
        <w:ind w:left="8029" w:hanging="360"/>
      </w:pPr>
    </w:lvl>
    <w:lvl w:ilvl="8" w:tentative="1" w:tplc="0419001B">
      <w:start w:val="1"/>
      <w:numFmt w:val="lowerRoman"/>
      <w:lvlText w:val="%9."/>
      <w:lvlJc w:val="right"/>
      <w:pPr>
        <w:ind w:left="8749" w:hanging="180"/>
      </w:pPr>
    </w:lvl>
  </w:abstractNum>
  <w:abstractNum w:abstractNumId="3">
    <w:multiLevelType w:val="hybridMultilevel"/>
    <w:lvl w:ilvl="0" w:tplc="D0087E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 w:tplc="E8F208CA">
      <w:start w:val="6"/>
      <w:numFmt w:val="decimal"/>
      <w:lvlText w:val="%1."/>
      <w:lvlJc w:val="left"/>
      <w:pPr>
        <w:ind w:left="19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2640" w:hanging="360"/>
      </w:pPr>
    </w:lvl>
    <w:lvl w:ilvl="2" w:tentative="1" w:tplc="0419001B">
      <w:start w:val="1"/>
      <w:numFmt w:val="lowerRoman"/>
      <w:lvlText w:val="%3."/>
      <w:lvlJc w:val="right"/>
      <w:pPr>
        <w:ind w:left="3360" w:hanging="180"/>
      </w:pPr>
    </w:lvl>
    <w:lvl w:ilvl="3" w:tentative="1" w:tplc="0419000F">
      <w:start w:val="1"/>
      <w:numFmt w:val="decimal"/>
      <w:lvlText w:val="%4."/>
      <w:lvlJc w:val="left"/>
      <w:pPr>
        <w:ind w:left="4080" w:hanging="360"/>
      </w:pPr>
    </w:lvl>
    <w:lvl w:ilvl="4" w:tentative="1" w:tplc="04190019">
      <w:start w:val="1"/>
      <w:numFmt w:val="lowerLetter"/>
      <w:lvlText w:val="%5."/>
      <w:lvlJc w:val="left"/>
      <w:pPr>
        <w:ind w:left="4800" w:hanging="360"/>
      </w:pPr>
    </w:lvl>
    <w:lvl w:ilvl="5" w:tentative="1" w:tplc="0419001B">
      <w:start w:val="1"/>
      <w:numFmt w:val="lowerRoman"/>
      <w:lvlText w:val="%6."/>
      <w:lvlJc w:val="right"/>
      <w:pPr>
        <w:ind w:left="5520" w:hanging="180"/>
      </w:pPr>
    </w:lvl>
    <w:lvl w:ilvl="6" w:tentative="1" w:tplc="0419000F">
      <w:start w:val="1"/>
      <w:numFmt w:val="decimal"/>
      <w:lvlText w:val="%7."/>
      <w:lvlJc w:val="left"/>
      <w:pPr>
        <w:ind w:left="6240" w:hanging="360"/>
      </w:pPr>
    </w:lvl>
    <w:lvl w:ilvl="7" w:tentative="1" w:tplc="04190019">
      <w:start w:val="1"/>
      <w:numFmt w:val="lowerLetter"/>
      <w:lvlText w:val="%8."/>
      <w:lvlJc w:val="left"/>
      <w:pPr>
        <w:ind w:left="6960" w:hanging="360"/>
      </w:pPr>
    </w:lvl>
    <w:lvl w:ilvl="8" w:tentative="1" w:tplc="0419001B">
      <w:start w:val="1"/>
      <w:numFmt w:val="lowerRoman"/>
      <w:lvlText w:val="%9."/>
      <w:lvlJc w:val="right"/>
      <w:pPr>
        <w:ind w:left="7680" w:hanging="180"/>
      </w:pPr>
    </w:lvl>
  </w:abstractNum>
  <w:abstractNum w:abstractNumId="5">
    <w:multiLevelType w:val="hybridMultilevel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 w:tplc="AE0686B8">
      <w:start w:val="1"/>
      <w:numFmt w:val="decimal"/>
      <w:lvlText w:val="%1."/>
      <w:lvlJc w:val="left"/>
      <w:pPr>
        <w:ind w:left="1113" w:hanging="42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73" w:hanging="360"/>
      </w:pPr>
    </w:lvl>
    <w:lvl w:ilvl="2" w:tentative="1" w:tplc="0419001B">
      <w:start w:val="1"/>
      <w:numFmt w:val="lowerRoman"/>
      <w:lvlText w:val="%3."/>
      <w:lvlJc w:val="right"/>
      <w:pPr>
        <w:ind w:left="2493" w:hanging="180"/>
      </w:pPr>
    </w:lvl>
    <w:lvl w:ilvl="3" w:tentative="1" w:tplc="0419000F">
      <w:start w:val="1"/>
      <w:numFmt w:val="decimal"/>
      <w:lvlText w:val="%4."/>
      <w:lvlJc w:val="left"/>
      <w:pPr>
        <w:ind w:left="3213" w:hanging="360"/>
      </w:pPr>
    </w:lvl>
    <w:lvl w:ilvl="4" w:tentative="1" w:tplc="04190019">
      <w:start w:val="1"/>
      <w:numFmt w:val="lowerLetter"/>
      <w:lvlText w:val="%5."/>
      <w:lvlJc w:val="left"/>
      <w:pPr>
        <w:ind w:left="3933" w:hanging="360"/>
      </w:pPr>
    </w:lvl>
    <w:lvl w:ilvl="5" w:tentative="1" w:tplc="0419001B">
      <w:start w:val="1"/>
      <w:numFmt w:val="lowerRoman"/>
      <w:lvlText w:val="%6."/>
      <w:lvlJc w:val="right"/>
      <w:pPr>
        <w:ind w:left="4653" w:hanging="180"/>
      </w:pPr>
    </w:lvl>
    <w:lvl w:ilvl="6" w:tentative="1" w:tplc="0419000F">
      <w:start w:val="1"/>
      <w:numFmt w:val="decimal"/>
      <w:lvlText w:val="%7."/>
      <w:lvlJc w:val="left"/>
      <w:pPr>
        <w:ind w:left="5373" w:hanging="360"/>
      </w:pPr>
    </w:lvl>
    <w:lvl w:ilvl="7" w:tentative="1" w:tplc="04190019">
      <w:start w:val="1"/>
      <w:numFmt w:val="lowerLetter"/>
      <w:lvlText w:val="%8."/>
      <w:lvlJc w:val="left"/>
      <w:pPr>
        <w:ind w:left="6093" w:hanging="360"/>
      </w:pPr>
    </w:lvl>
    <w:lvl w:ilvl="8" w:tentative="1" w:tplc="0419001B">
      <w:start w:val="1"/>
      <w:numFmt w:val="lowerRoman"/>
      <w:lvlText w:val="%9."/>
      <w:lvlJc w:val="right"/>
      <w:pPr>
        <w:ind w:left="6813" w:hanging="180"/>
      </w:pPr>
    </w:lvl>
  </w:abstractNum>
  <w:abstractNum w:abstractNumId="7">
    <w:multiLevelType w:val="hybridMultilevel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 w:tplc="18C20A2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222" w:hanging="360"/>
      </w:pPr>
    </w:lvl>
    <w:lvl w:ilvl="2" w:tentative="1" w:tplc="0419001B">
      <w:start w:val="1"/>
      <w:numFmt w:val="lowerRoman"/>
      <w:lvlText w:val="%3."/>
      <w:lvlJc w:val="right"/>
      <w:pPr>
        <w:ind w:left="1942" w:hanging="180"/>
      </w:pPr>
    </w:lvl>
    <w:lvl w:ilvl="3" w:tentative="1" w:tplc="0419000F">
      <w:start w:val="1"/>
      <w:numFmt w:val="decimal"/>
      <w:lvlText w:val="%4."/>
      <w:lvlJc w:val="left"/>
      <w:pPr>
        <w:ind w:left="2662" w:hanging="360"/>
      </w:pPr>
    </w:lvl>
    <w:lvl w:ilvl="4" w:tentative="1" w:tplc="04190019">
      <w:start w:val="1"/>
      <w:numFmt w:val="lowerLetter"/>
      <w:lvlText w:val="%5."/>
      <w:lvlJc w:val="left"/>
      <w:pPr>
        <w:ind w:left="3382" w:hanging="360"/>
      </w:pPr>
    </w:lvl>
    <w:lvl w:ilvl="5" w:tentative="1" w:tplc="0419001B">
      <w:start w:val="1"/>
      <w:numFmt w:val="lowerRoman"/>
      <w:lvlText w:val="%6."/>
      <w:lvlJc w:val="right"/>
      <w:pPr>
        <w:ind w:left="4102" w:hanging="180"/>
      </w:pPr>
    </w:lvl>
    <w:lvl w:ilvl="6" w:tentative="1" w:tplc="0419000F">
      <w:start w:val="1"/>
      <w:numFmt w:val="decimal"/>
      <w:lvlText w:val="%7."/>
      <w:lvlJc w:val="left"/>
      <w:pPr>
        <w:ind w:left="4822" w:hanging="360"/>
      </w:pPr>
    </w:lvl>
    <w:lvl w:ilvl="7" w:tentative="1" w:tplc="04190019">
      <w:start w:val="1"/>
      <w:numFmt w:val="lowerLetter"/>
      <w:lvlText w:val="%8."/>
      <w:lvlJc w:val="left"/>
      <w:pPr>
        <w:ind w:left="5542" w:hanging="360"/>
      </w:pPr>
    </w:lvl>
    <w:lvl w:ilvl="8" w:tentative="1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multiLevelType w:val="hybridMultilevel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multiLevelType w:val="hybridMultilevel"/>
    <w:lvl w:ilvl="0" w:tplc="7424070E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648" w:hanging="360"/>
      </w:pPr>
    </w:lvl>
    <w:lvl w:ilvl="2" w:tentative="1" w:tplc="0419001B">
      <w:start w:val="1"/>
      <w:numFmt w:val="lowerRoman"/>
      <w:lvlText w:val="%3."/>
      <w:lvlJc w:val="right"/>
      <w:pPr>
        <w:ind w:left="2368" w:hanging="180"/>
      </w:pPr>
    </w:lvl>
    <w:lvl w:ilvl="3" w:tentative="1" w:tplc="0419000F">
      <w:start w:val="1"/>
      <w:numFmt w:val="decimal"/>
      <w:lvlText w:val="%4."/>
      <w:lvlJc w:val="left"/>
      <w:pPr>
        <w:ind w:left="3088" w:hanging="360"/>
      </w:pPr>
    </w:lvl>
    <w:lvl w:ilvl="4" w:tentative="1" w:tplc="04190019">
      <w:start w:val="1"/>
      <w:numFmt w:val="lowerLetter"/>
      <w:lvlText w:val="%5."/>
      <w:lvlJc w:val="left"/>
      <w:pPr>
        <w:ind w:left="3808" w:hanging="360"/>
      </w:pPr>
    </w:lvl>
    <w:lvl w:ilvl="5" w:tentative="1" w:tplc="0419001B">
      <w:start w:val="1"/>
      <w:numFmt w:val="lowerRoman"/>
      <w:lvlText w:val="%6."/>
      <w:lvlJc w:val="right"/>
      <w:pPr>
        <w:ind w:left="4528" w:hanging="180"/>
      </w:pPr>
    </w:lvl>
    <w:lvl w:ilvl="6" w:tentative="1" w:tplc="0419000F">
      <w:start w:val="1"/>
      <w:numFmt w:val="decimal"/>
      <w:lvlText w:val="%7."/>
      <w:lvlJc w:val="left"/>
      <w:pPr>
        <w:ind w:left="5248" w:hanging="360"/>
      </w:pPr>
    </w:lvl>
    <w:lvl w:ilvl="7" w:tentative="1" w:tplc="04190019">
      <w:start w:val="1"/>
      <w:numFmt w:val="lowerLetter"/>
      <w:lvlText w:val="%8."/>
      <w:lvlJc w:val="left"/>
      <w:pPr>
        <w:ind w:left="5968" w:hanging="360"/>
      </w:pPr>
    </w:lvl>
    <w:lvl w:ilvl="8" w:tentative="1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multiLevelType w:val="hybridMultilevel"/>
    <w:lvl w:ilvl="0" w:tplc="64A0D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4625" w:hanging="360"/>
      </w:pPr>
    </w:lvl>
    <w:lvl w:ilvl="2" w:tentative="1" w:tplc="0419001B">
      <w:start w:val="1"/>
      <w:numFmt w:val="lowerRoman"/>
      <w:lvlText w:val="%3."/>
      <w:lvlJc w:val="right"/>
      <w:pPr>
        <w:ind w:left="5345" w:hanging="180"/>
      </w:pPr>
    </w:lvl>
    <w:lvl w:ilvl="3" w:tentative="1" w:tplc="0419000F">
      <w:start w:val="1"/>
      <w:numFmt w:val="decimal"/>
      <w:lvlText w:val="%4."/>
      <w:lvlJc w:val="left"/>
      <w:pPr>
        <w:ind w:left="6065" w:hanging="360"/>
      </w:pPr>
    </w:lvl>
    <w:lvl w:ilvl="4" w:tentative="1" w:tplc="04190019">
      <w:start w:val="1"/>
      <w:numFmt w:val="lowerLetter"/>
      <w:lvlText w:val="%5."/>
      <w:lvlJc w:val="left"/>
      <w:pPr>
        <w:ind w:left="6785" w:hanging="360"/>
      </w:pPr>
    </w:lvl>
    <w:lvl w:ilvl="5" w:tentative="1" w:tplc="0419001B">
      <w:start w:val="1"/>
      <w:numFmt w:val="lowerRoman"/>
      <w:lvlText w:val="%6."/>
      <w:lvlJc w:val="right"/>
      <w:pPr>
        <w:ind w:left="7505" w:hanging="180"/>
      </w:pPr>
    </w:lvl>
    <w:lvl w:ilvl="6" w:tentative="1" w:tplc="0419000F">
      <w:start w:val="1"/>
      <w:numFmt w:val="decimal"/>
      <w:lvlText w:val="%7."/>
      <w:lvlJc w:val="left"/>
      <w:pPr>
        <w:ind w:left="8225" w:hanging="360"/>
      </w:pPr>
    </w:lvl>
    <w:lvl w:ilvl="7" w:tentative="1" w:tplc="04190019">
      <w:start w:val="1"/>
      <w:numFmt w:val="lowerLetter"/>
      <w:lvlText w:val="%8."/>
      <w:lvlJc w:val="left"/>
      <w:pPr>
        <w:ind w:left="8945" w:hanging="360"/>
      </w:pPr>
    </w:lvl>
    <w:lvl w:ilvl="8" w:tentative="1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21">
    <w:multiLevelType w:val="hybridMultilevel"/>
    <w:lvl w:ilvl="0" w:tplc="CB5C3026">
      <w:start w:val="1"/>
      <w:numFmt w:val="decimal"/>
      <w:lvlText w:val="%1."/>
      <w:lvlJc w:val="left"/>
      <w:pPr>
        <w:ind w:left="6013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6733" w:hanging="360"/>
      </w:pPr>
    </w:lvl>
    <w:lvl w:ilvl="2" w:tentative="1" w:tplc="0419001B">
      <w:start w:val="1"/>
      <w:numFmt w:val="lowerRoman"/>
      <w:lvlText w:val="%3."/>
      <w:lvlJc w:val="right"/>
      <w:pPr>
        <w:ind w:left="7453" w:hanging="180"/>
      </w:pPr>
    </w:lvl>
    <w:lvl w:ilvl="3" w:tentative="1" w:tplc="0419000F">
      <w:start w:val="1"/>
      <w:numFmt w:val="decimal"/>
      <w:lvlText w:val="%4."/>
      <w:lvlJc w:val="left"/>
      <w:pPr>
        <w:ind w:left="8173" w:hanging="360"/>
      </w:pPr>
    </w:lvl>
    <w:lvl w:ilvl="4" w:tentative="1" w:tplc="04190019">
      <w:start w:val="1"/>
      <w:numFmt w:val="lowerLetter"/>
      <w:lvlText w:val="%5."/>
      <w:lvlJc w:val="left"/>
      <w:pPr>
        <w:ind w:left="8893" w:hanging="360"/>
      </w:pPr>
    </w:lvl>
    <w:lvl w:ilvl="5" w:tentative="1" w:tplc="0419001B">
      <w:start w:val="1"/>
      <w:numFmt w:val="lowerRoman"/>
      <w:lvlText w:val="%6."/>
      <w:lvlJc w:val="right"/>
      <w:pPr>
        <w:ind w:left="9613" w:hanging="180"/>
      </w:pPr>
    </w:lvl>
    <w:lvl w:ilvl="6" w:tentative="1" w:tplc="0419000F">
      <w:start w:val="1"/>
      <w:numFmt w:val="decimal"/>
      <w:lvlText w:val="%7."/>
      <w:lvlJc w:val="left"/>
      <w:pPr>
        <w:ind w:left="10333" w:hanging="360"/>
      </w:pPr>
    </w:lvl>
    <w:lvl w:ilvl="7" w:tentative="1" w:tplc="04190019">
      <w:start w:val="1"/>
      <w:numFmt w:val="lowerLetter"/>
      <w:lvlText w:val="%8."/>
      <w:lvlJc w:val="left"/>
      <w:pPr>
        <w:ind w:left="11053" w:hanging="360"/>
      </w:pPr>
    </w:lvl>
    <w:lvl w:ilvl="8" w:tentative="1" w:tplc="0419001B">
      <w:start w:val="1"/>
      <w:numFmt w:val="lowerRoman"/>
      <w:lvlText w:val="%9."/>
      <w:lvlJc w:val="right"/>
      <w:pPr>
        <w:ind w:left="11773" w:hanging="180"/>
      </w:pPr>
    </w:lvl>
  </w:abstractNum>
  <w:abstractNum w:abstractNumId="22">
    <w:multiLevelType w:val="hybridMultilevel"/>
    <w:lvl w:ilvl="0" w:tplc="1F5451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 w:tplc="99CCD2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  <w:szCs w:val="24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 w:tplc="0419000F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648" w:hanging="360"/>
      </w:pPr>
    </w:lvl>
    <w:lvl w:ilvl="2" w:tentative="1" w:tplc="0419001B">
      <w:start w:val="1"/>
      <w:numFmt w:val="lowerRoman"/>
      <w:lvlText w:val="%3."/>
      <w:lvlJc w:val="right"/>
      <w:pPr>
        <w:ind w:left="2368" w:hanging="180"/>
      </w:pPr>
    </w:lvl>
    <w:lvl w:ilvl="3" w:tentative="1" w:tplc="0419000F">
      <w:start w:val="1"/>
      <w:numFmt w:val="decimal"/>
      <w:lvlText w:val="%4."/>
      <w:lvlJc w:val="left"/>
      <w:pPr>
        <w:ind w:left="3088" w:hanging="360"/>
      </w:pPr>
    </w:lvl>
    <w:lvl w:ilvl="4" w:tentative="1" w:tplc="04190019">
      <w:start w:val="1"/>
      <w:numFmt w:val="lowerLetter"/>
      <w:lvlText w:val="%5."/>
      <w:lvlJc w:val="left"/>
      <w:pPr>
        <w:ind w:left="3808" w:hanging="360"/>
      </w:pPr>
    </w:lvl>
    <w:lvl w:ilvl="5" w:tentative="1" w:tplc="0419001B">
      <w:start w:val="1"/>
      <w:numFmt w:val="lowerRoman"/>
      <w:lvlText w:val="%6."/>
      <w:lvlJc w:val="right"/>
      <w:pPr>
        <w:ind w:left="4528" w:hanging="180"/>
      </w:pPr>
    </w:lvl>
    <w:lvl w:ilvl="6" w:tentative="1" w:tplc="0419000F">
      <w:start w:val="1"/>
      <w:numFmt w:val="decimal"/>
      <w:lvlText w:val="%7."/>
      <w:lvlJc w:val="left"/>
      <w:pPr>
        <w:ind w:left="5248" w:hanging="360"/>
      </w:pPr>
    </w:lvl>
    <w:lvl w:ilvl="7" w:tentative="1" w:tplc="04190019">
      <w:start w:val="1"/>
      <w:numFmt w:val="lowerLetter"/>
      <w:lvlText w:val="%8."/>
      <w:lvlJc w:val="left"/>
      <w:pPr>
        <w:ind w:left="5968" w:hanging="360"/>
      </w:pPr>
    </w:lvl>
    <w:lvl w:ilvl="8" w:tentative="1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9"/>
  </w:num>
  <w:num w:numId="6">
    <w:abstractNumId w:val="22"/>
  </w:num>
  <w:num w:numId="7">
    <w:abstractNumId w:val="17"/>
  </w:num>
  <w:num w:numId="8">
    <w:abstractNumId w:val="8"/>
  </w:num>
  <w:num w:numId="9">
    <w:abstractNumId w:val="24"/>
  </w:num>
  <w:num w:numId="10">
    <w:abstractNumId w:val="20"/>
  </w:num>
  <w:num w:numId="11">
    <w:abstractNumId w:val="4"/>
  </w:num>
  <w:num w:numId="12">
    <w:abstractNumId w:val="15"/>
  </w:num>
  <w:num w:numId="13">
    <w:abstractNumId w:val="10"/>
  </w:num>
  <w:num w:numId="14">
    <w:abstractNumId w:val="23"/>
  </w:num>
  <w:num w:numId="15">
    <w:abstractNumId w:val="16"/>
  </w:num>
  <w:num w:numId="16">
    <w:abstractNumId w:val="2"/>
  </w:num>
  <w:num w:numId="17">
    <w:abstractNumId w:val="21"/>
  </w:num>
  <w:num w:numId="18">
    <w:abstractNumId w:val="13"/>
  </w:num>
  <w:num w:numId="19">
    <w:abstractNumId w:val="12"/>
  </w:num>
  <w:num w:numId="20">
    <w:abstractNumId w:val="3"/>
  </w:num>
  <w:num w:numId="21">
    <w:abstractNumId w:val="18"/>
  </w:num>
  <w:num w:numId="22">
    <w:abstractNumId w:val="7"/>
  </w:num>
  <w:num w:numId="23">
    <w:abstractNumId w:val="6"/>
  </w:num>
  <w:num w:numId="24">
    <w:abstractNumId w:val="1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widowControl w:val="off"/>
      <w:spacing w:after="0" w:line="240" w:lineRule="auto"/>
    </w:pPr>
    <w:rPr>
      <w:rFonts w:ascii="Courier New" w:hAnsi="Courier New" w:eastAsia="Times New Roman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a3">
    <w:name w:val="Strong"/>
    <w:uiPriority w:val="22"/>
    <w:qFormat/>
    <w:rPr>
      <w:b/>
      <w:bCs/>
    </w:rPr>
  </w:style>
  <w:style w:type="character" w:styleId="a4" w:customStyle="1">
    <w:name w:val="Основной текст Знак"/>
    <w:link w:val="a5"/>
    <w:locked/>
    <w:rPr>
      <w:spacing w:val="1"/>
      <w:shd w:val="clear" w:color="auto" w:fill="ffffff"/>
      <w:lang w:eastAsia="ru-RU"/>
    </w:rPr>
  </w:style>
  <w:style w:type="paragraph" w:styleId="a5">
    <w:name w:val="Body Text"/>
    <w:basedOn w:val="a"/>
    <w:link w:val="a4"/>
    <w:pPr>
      <w:shd w:val="clear" w:color="auto" w:fill="ffffff"/>
      <w:spacing w:before="60" w:line="240" w:lineRule="atLeast"/>
      <w:jc w:val="center"/>
    </w:pPr>
    <w:rPr>
      <w:rFonts w:asciiTheme="minorHAnsi" w:hAnsiTheme="minorHAnsi" w:eastAsiaTheme="minorHAnsi" w:cstheme="minorBidi"/>
      <w:color w:val="auto"/>
      <w:spacing w:val="1"/>
      <w:sz w:val="22"/>
      <w:szCs w:val="22"/>
    </w:rPr>
  </w:style>
  <w:style w:type="character" w:styleId="11" w:customStyle="1">
    <w:name w:val="Основной текст Знак1"/>
    <w:basedOn w:val="a0"/>
    <w:uiPriority w:val="99"/>
    <w:semiHidden/>
    <w:rPr>
      <w:rFonts w:ascii="Courier New" w:hAnsi="Courier New" w:eastAsia="Times New Roman" w:cs="Courier New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table" w:styleId="a7">
    <w:name w:val="Table Grid"/>
    <w:basedOn w:val="a1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0" w:customStyle="1">
    <w:name w:val="Заголовок 4 Знак"/>
    <w:basedOn w:val="a0"/>
    <w:link w:val="4"/>
    <w:uiPriority w:val="9"/>
    <w:rPr>
      <w:rFonts w:asciiTheme="majorHAnsi" w:hAnsiTheme="majorHAnsi" w:eastAsiaTheme="majorEastAsia" w:cstheme="majorBidi"/>
      <w:i/>
      <w:iCs/>
      <w:color w:val="2e74b5" w:themeColor="accent1" w:themeShade="BF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Pr>
      <w:color w:val="0000ff"/>
      <w:u w:val="single"/>
    </w:rPr>
  </w:style>
  <w:style w:type="paragraph" w:styleId="formattext" w:customStyle="1">
    <w:name w:val="formattext"/>
    <w:basedOn w:val="a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ConsPlusNormal" w:customStyle="1">
    <w:name w:val="ConsPlusNormal"/>
    <w:pPr>
      <w:widowControl w:val="off"/>
      <w:spacing w:after="0" w:line="240" w:lineRule="auto"/>
    </w:pPr>
    <w:rPr>
      <w:rFonts w:ascii="Arial" w:hAnsi="Arial" w:cs="Arial" w:eastAsiaTheme="minorEastAsia"/>
      <w:sz w:val="20"/>
      <w:lang w:eastAsia="ru-RU"/>
    </w:rPr>
  </w:style>
  <w:style w:type="paragraph" w:styleId="ConsPlusTitle" w:customStyle="1">
    <w:name w:val="ConsPlusTitle"/>
    <w:pPr>
      <w:widowControl w:val="off"/>
      <w:spacing w:after="0" w:line="240" w:lineRule="auto"/>
    </w:pPr>
    <w:rPr>
      <w:rFonts w:ascii="Arial" w:hAnsi="Arial" w:cs="Arial" w:eastAsiaTheme="minorEastAsia"/>
      <w:b/>
      <w:sz w:val="20"/>
      <w:lang w:eastAsia="ru-RU"/>
    </w:rPr>
  </w:style>
  <w:style w:type="paragraph" w:styleId="ConsPlusDocList" w:customStyle="1">
    <w:name w:val="ConsPlusDocList"/>
    <w:pPr>
      <w:widowControl w:val="off"/>
      <w:spacing w:after="0" w:line="240" w:lineRule="auto"/>
    </w:pPr>
    <w:rPr>
      <w:rFonts w:ascii="Courier New" w:hAnsi="Courier New" w:cs="Courier New" w:eastAsiaTheme="minorEastAsia"/>
      <w:sz w:val="20"/>
      <w:lang w:eastAsia="ru-RU"/>
    </w:rPr>
  </w:style>
  <w:style w:type="paragraph" w:styleId="ConsPlusNonformat" w:customStyle="1">
    <w:name w:val="ConsPlusNonformat"/>
    <w:pPr>
      <w:widowControl w:val="off"/>
      <w:spacing w:after="0" w:line="240" w:lineRule="auto"/>
    </w:pPr>
    <w:rPr>
      <w:rFonts w:ascii="Courier New" w:hAnsi="Courier New" w:cs="Courier New" w:eastAsiaTheme="minorEastAsia"/>
      <w:sz w:val="20"/>
      <w:lang w:eastAsia="ru-RU"/>
    </w:rPr>
  </w:style>
  <w:style w:type="paragraph" w:styleId="ConsPlusCell" w:customStyle="1">
    <w:name w:val="ConsPlusCell"/>
    <w:pPr>
      <w:widowControl w:val="off"/>
      <w:spacing w:after="0" w:line="240" w:lineRule="auto"/>
    </w:pPr>
    <w:rPr>
      <w:rFonts w:ascii="Courier New" w:hAnsi="Courier New" w:cs="Courier New" w:eastAsiaTheme="minorEastAsia"/>
      <w:sz w:val="20"/>
      <w:lang w:eastAsia="ru-RU"/>
    </w:rPr>
  </w:style>
  <w:style w:type="numbering" w:styleId="12" w:customStyle="1">
    <w:name w:val="Нет списка1"/>
    <w:next w:val="a2"/>
    <w:uiPriority w:val="99"/>
    <w:semiHidden/>
    <w:unhideWhenUsed/>
  </w:style>
  <w:style w:type="paragraph" w:styleId="ConsPlusTitlePage" w:customStyle="1">
    <w:name w:val="ConsPlusTitlePage"/>
    <w:pPr>
      <w:widowControl w:val="off"/>
      <w:spacing w:after="0" w:line="240" w:lineRule="auto"/>
    </w:pPr>
    <w:rPr>
      <w:rFonts w:ascii="Tahoma" w:hAnsi="Tahoma" w:cs="Tahoma" w:eastAsiaTheme="minorEastAsia"/>
      <w:sz w:val="20"/>
      <w:lang w:eastAsia="ru-RU"/>
    </w:rPr>
  </w:style>
  <w:style w:type="paragraph" w:styleId="ConsPlusJurTerm" w:customStyle="1">
    <w:name w:val="ConsPlusJurTerm"/>
    <w:pPr>
      <w:widowControl w:val="off"/>
      <w:spacing w:after="0" w:line="240" w:lineRule="auto"/>
    </w:pPr>
    <w:rPr>
      <w:rFonts w:ascii="Tahoma" w:hAnsi="Tahoma" w:cs="Tahoma" w:eastAsiaTheme="minorEastAsia"/>
      <w:sz w:val="26"/>
      <w:lang w:eastAsia="ru-RU"/>
    </w:rPr>
  </w:style>
  <w:style w:type="paragraph" w:styleId="ConsPlusTextList" w:customStyle="1">
    <w:name w:val="ConsPlusTextList"/>
    <w:pPr>
      <w:widowControl w:val="off"/>
      <w:spacing w:after="0" w:line="240" w:lineRule="auto"/>
    </w:pPr>
    <w:rPr>
      <w:rFonts w:ascii="Arial" w:hAnsi="Arial" w:cs="Arial" w:eastAsiaTheme="minorEastAsia"/>
      <w:sz w:val="20"/>
      <w:lang w:eastAsia="ru-RU"/>
    </w:rPr>
  </w:style>
  <w:style w:type="numbering" w:styleId="2" w:customStyle="1">
    <w:name w:val="Нет списка2"/>
    <w:next w:val="a2"/>
    <w:uiPriority w:val="99"/>
    <w:semiHidden/>
    <w:unhideWhenUsed/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styleId="aa" w:customStyle="1">
    <w:name w:val="Верхний колонтитул Знак"/>
    <w:basedOn w:val="a0"/>
    <w:link w:val="a9"/>
    <w:uiPriority w:val="99"/>
    <w:rPr>
      <w:rFonts w:ascii="Courier New" w:hAnsi="Courier New" w:eastAsia="Times New Roman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styleId="ac" w:customStyle="1">
    <w:name w:val="Нижний колонтитул Знак"/>
    <w:basedOn w:val="a0"/>
    <w:link w:val="ab"/>
    <w:uiPriority w:val="99"/>
    <w:rPr>
      <w:rFonts w:ascii="Courier New" w:hAnsi="Courier New" w:eastAsia="Times New Roman" w:cs="Courier New"/>
      <w:color w:val="000000"/>
      <w:sz w:val="24"/>
      <w:szCs w:val="24"/>
      <w:lang w:eastAsia="ru-RU"/>
    </w:rPr>
  </w:style>
  <w:style w:type="character" w:styleId="30" w:customStyle="1">
    <w:name w:val="Заголовок 3 Знак"/>
    <w:basedOn w:val="a0"/>
    <w:link w:val="3"/>
    <w:uiPriority w:val="9"/>
    <w:rPr>
      <w:rFonts w:asciiTheme="majorHAnsi" w:hAnsiTheme="majorHAnsi" w:eastAsiaTheme="majorEastAsia" w:cstheme="majorBidi"/>
      <w:color w:val="1f4d78" w:themeColor="accent1" w:themeShade="7F"/>
      <w:sz w:val="24"/>
      <w:szCs w:val="24"/>
      <w:lang w:eastAsia="ru-RU"/>
    </w:rPr>
  </w:style>
  <w:style w:type="numbering" w:styleId="31" w:customStyle="1">
    <w:name w:val="Нет списка3"/>
    <w:next w:val="a2"/>
    <w:uiPriority w:val="99"/>
    <w:semiHidden/>
    <w:unhideWhenUsed/>
  </w:style>
  <w:style w:type="paragraph" w:styleId="msonormal0" w:customStyle="1">
    <w:name w:val="msonormal"/>
    <w:basedOn w:val="a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d">
    <w:name w:val="Normal (Web)"/>
    <w:basedOn w:val="a"/>
    <w:uiPriority w:val="99"/>
    <w:semiHidden/>
    <w:unhideWhenUsed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e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headertext" w:customStyle="1">
    <w:name w:val="headertext"/>
    <w:basedOn w:val="a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numbering" w:styleId="41" w:customStyle="1">
    <w:name w:val="Нет списка4"/>
    <w:next w:val="a2"/>
    <w:uiPriority w:val="99"/>
    <w:semiHidden/>
    <w:unhideWhenUsed/>
  </w:style>
  <w:style w:type="character" w:styleId="10" w:customStyle="1">
    <w:name w:val="Заголовок 1 Знак"/>
    <w:basedOn w:val="a0"/>
    <w:link w:val="1"/>
    <w:uiPriority w:val="9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ru-RU"/>
    </w:rPr>
  </w:style>
  <w:style w:type="paragraph" w:styleId="pboth" w:customStyle="1">
    <w:name w:val="pboth"/>
    <w:basedOn w:val="a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af0" w:customStyle="1">
    <w:name w:val="Текст выноски Знак"/>
    <w:basedOn w:val="a0"/>
    <w:link w:val="af"/>
    <w:uiPriority w:val="99"/>
    <w:semiHidden/>
    <w:rPr>
      <w:rFonts w:ascii="Segoe UI" w:hAnsi="Segoe UI" w:eastAsia="Times New Roman" w:cs="Segoe UI"/>
      <w:color w:val="000000"/>
      <w:sz w:val="18"/>
      <w:szCs w:val="18"/>
      <w:lang w:eastAsia="ru-RU"/>
    </w:rPr>
  </w:style>
  <w:style w:type="character" w:styleId="a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Pr>
      <w:sz w:val="20"/>
      <w:szCs w:val="20"/>
    </w:rPr>
  </w:style>
  <w:style w:type="character" w:styleId="af3" w:customStyle="1">
    <w:name w:val="Текст примечания Знак"/>
    <w:basedOn w:val="a0"/>
    <w:link w:val="af2"/>
    <w:uiPriority w:val="99"/>
    <w:rPr>
      <w:rFonts w:ascii="Courier New" w:hAnsi="Courier New" w:eastAsia="Times New Roman" w:cs="Courier New"/>
      <w:color w:val="000000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Pr>
      <w:b/>
      <w:bCs/>
    </w:rPr>
  </w:style>
  <w:style w:type="character" w:styleId="af5" w:customStyle="1">
    <w:name w:val="Тема примечания Знак"/>
    <w:basedOn w:val="af3"/>
    <w:link w:val="af4"/>
    <w:uiPriority w:val="99"/>
    <w:semiHidden/>
    <w:rPr>
      <w:rFonts w:ascii="Courier New" w:hAnsi="Courier New" w:eastAsia="Times New Roman" w:cs="Courier New"/>
      <w:b/>
      <w:bCs/>
      <w:color w:val="000000"/>
      <w:sz w:val="20"/>
      <w:szCs w:val="20"/>
      <w:lang w:eastAsia="ru-RU"/>
    </w:rPr>
  </w:style>
  <w:style w:type="paragraph" w:styleId="richfactdown-paragraph" w:customStyle="1">
    <w:name w:val="richfactdown-paragraph"/>
    <w:basedOn w:val="a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login.consultant.ru/link/?req=doc&amp;base=LAW&amp;n=441135" TargetMode="External"/><Relationship Id="rId13" Type="http://schemas.openxmlformats.org/officeDocument/2006/relationships/hyperlink" Target="https://login.consultant.ru/link/?req=doc&amp;base=LAW&amp;n=441135" TargetMode="External"/><Relationship Id="rId14" Type="http://schemas.openxmlformats.org/officeDocument/2006/relationships/hyperlink" Target="https://login.consultant.ru/link/?req=doc&amp;base=LAW&amp;n=441135" TargetMode="External"/><Relationship Id="rId15" Type="http://schemas.openxmlformats.org/officeDocument/2006/relationships/hyperlink" Target="https://login.consultant.ru/link/?req=doc&amp;base=LAW&amp;n=44113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20A2D-1B48-487D-B004-12E76DAB6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haracters>17941</Characters>
  <CharactersWithSpaces>21046</CharactersWithSpaces>
  <Company/>
  <DocSecurity>0</DocSecurity>
  <HyperlinksChanged>false</HyperlinksChanged>
  <Lines>149</Lines>
  <LinksUpToDate>false</LinksUpToDate>
  <Pages>16</Pages>
  <Paragraphs>42</Paragraphs>
  <ScaleCrop>false</ScaleCrop>
  <SharedDoc>false</SharedDoc>
  <Template>Normal</Template>
  <TotalTime>11777</TotalTime>
  <Words>3147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172</cp:revision>
  <dcterms:created xsi:type="dcterms:W3CDTF">2024-08-02T09:37:00Z</dcterms:created>
  <dcterms:modified xsi:type="dcterms:W3CDTF">2025-07-21T08:47:00Z</dcterms:modified>
</cp:coreProperties>
</file>